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6B392" w14:textId="3559D5D2" w:rsidR="00EB27B3" w:rsidRPr="00FE4C9B" w:rsidRDefault="00CE4248" w:rsidP="00CE4248">
      <w:pPr>
        <w:pStyle w:val="CorpsdetexteMsoNormal"/>
        <w:spacing w:after="0"/>
        <w:jc w:val="center"/>
        <w:rPr>
          <w:b/>
          <w:bCs/>
          <w:sz w:val="24"/>
        </w:rPr>
      </w:pPr>
      <w:r w:rsidRPr="00FE4C9B">
        <w:rPr>
          <w:b/>
          <w:bCs/>
          <w:noProof/>
          <w:sz w:val="24"/>
        </w:rPr>
        <w:drawing>
          <wp:anchor distT="0" distB="0" distL="114300" distR="114300" simplePos="0" relativeHeight="251658240" behindDoc="0" locked="0" layoutInCell="1" allowOverlap="1" wp14:anchorId="06A59569" wp14:editId="33119EAD">
            <wp:simplePos x="0" y="0"/>
            <wp:positionH relativeFrom="column">
              <wp:posOffset>1905</wp:posOffset>
            </wp:positionH>
            <wp:positionV relativeFrom="paragraph">
              <wp:posOffset>-453390</wp:posOffset>
            </wp:positionV>
            <wp:extent cx="1257300" cy="10858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085850"/>
                    </a:xfrm>
                    <a:prstGeom prst="rect">
                      <a:avLst/>
                    </a:prstGeom>
                    <a:noFill/>
                    <a:ln>
                      <a:noFill/>
                    </a:ln>
                  </pic:spPr>
                </pic:pic>
              </a:graphicData>
            </a:graphic>
          </wp:anchor>
        </w:drawing>
      </w:r>
      <w:r w:rsidR="00EB27B3" w:rsidRPr="00FE4C9B">
        <w:rPr>
          <w:rFonts w:ascii="Geneva" w:hAnsi="Geneva"/>
          <w:b/>
          <w:bCs/>
          <w:sz w:val="24"/>
        </w:rPr>
        <w:t xml:space="preserve">COMMUNE DE </w:t>
      </w:r>
      <w:r w:rsidR="00FA7AA7" w:rsidRPr="00FE4C9B">
        <w:rPr>
          <w:rFonts w:ascii="Geneva" w:hAnsi="Geneva"/>
          <w:b/>
          <w:bCs/>
          <w:sz w:val="24"/>
        </w:rPr>
        <w:t>WIZERNES</w:t>
      </w:r>
    </w:p>
    <w:p w14:paraId="6E28581D" w14:textId="77777777" w:rsidR="002F6DD7" w:rsidRDefault="002F6DD7" w:rsidP="00EB27B3">
      <w:pPr>
        <w:pStyle w:val="CorpsdetexteMsoNormal"/>
        <w:spacing w:after="0"/>
        <w:jc w:val="center"/>
        <w:rPr>
          <w:rFonts w:ascii="Geneva" w:hAnsi="Geneva" w:hint="eastAsia"/>
          <w:b/>
          <w:sz w:val="20"/>
        </w:rPr>
      </w:pPr>
    </w:p>
    <w:p w14:paraId="2B8613FA" w14:textId="77777777" w:rsidR="00CE4248" w:rsidRPr="00FE4C9B" w:rsidRDefault="00EB27B3" w:rsidP="00EB27B3">
      <w:pPr>
        <w:pStyle w:val="CorpsdetexteMsoNormal"/>
        <w:spacing w:after="0"/>
        <w:jc w:val="center"/>
        <w:rPr>
          <w:rFonts w:ascii="Geneva" w:hAnsi="Geneva" w:hint="eastAsia"/>
          <w:b/>
          <w:sz w:val="24"/>
        </w:rPr>
      </w:pPr>
      <w:r w:rsidRPr="00FE4C9B">
        <w:rPr>
          <w:rFonts w:ascii="Geneva" w:hAnsi="Geneva"/>
          <w:b/>
          <w:sz w:val="24"/>
        </w:rPr>
        <w:t>NOTE DE PRESENTATION BREVE ET SYNTHETIQUE</w:t>
      </w:r>
    </w:p>
    <w:p w14:paraId="4BB92615" w14:textId="6A14EF8D" w:rsidR="00EB27B3" w:rsidRPr="00FE4C9B" w:rsidRDefault="00EB27B3" w:rsidP="00EB27B3">
      <w:pPr>
        <w:pStyle w:val="CorpsdetexteMsoNormal"/>
        <w:spacing w:after="0"/>
        <w:jc w:val="center"/>
        <w:rPr>
          <w:rFonts w:ascii="Geneva" w:hAnsi="Geneva" w:hint="eastAsia"/>
          <w:b/>
          <w:sz w:val="24"/>
        </w:rPr>
      </w:pPr>
      <w:r w:rsidRPr="00FE4C9B">
        <w:rPr>
          <w:rFonts w:ascii="Geneva" w:hAnsi="Geneva"/>
          <w:b/>
          <w:sz w:val="24"/>
        </w:rPr>
        <w:t>DU COMPTE ADMINISTRATIF 202</w:t>
      </w:r>
      <w:r w:rsidR="001442E0" w:rsidRPr="00FE4C9B">
        <w:rPr>
          <w:rFonts w:ascii="Geneva" w:hAnsi="Geneva"/>
          <w:b/>
          <w:sz w:val="24"/>
        </w:rPr>
        <w:t>3</w:t>
      </w:r>
    </w:p>
    <w:p w14:paraId="7312E24A" w14:textId="77777777" w:rsidR="00EB27B3" w:rsidRDefault="00EB27B3" w:rsidP="00EB27B3">
      <w:pPr>
        <w:pStyle w:val="CorpsdetexteMsoNormal"/>
        <w:spacing w:after="0"/>
        <w:jc w:val="center"/>
      </w:pPr>
    </w:p>
    <w:p w14:paraId="60AEE53B" w14:textId="025193F1" w:rsidR="00EB552E" w:rsidRPr="007B7FFA" w:rsidRDefault="00EB552E" w:rsidP="00EB552E">
      <w:pPr>
        <w:jc w:val="both"/>
        <w:rPr>
          <w:sz w:val="20"/>
          <w:szCs w:val="20"/>
        </w:rPr>
      </w:pPr>
      <w:r w:rsidRPr="007B7FFA">
        <w:rPr>
          <w:sz w:val="20"/>
          <w:szCs w:val="20"/>
        </w:rPr>
        <w:t>L’article L. 2313-1 du code général des collectivités territoriales prévoit qu’une présentation brève et synthétique retraçant les informations financières essentielles doit être annexée au compte administratif. La présente note répond à cette obligation.</w:t>
      </w:r>
    </w:p>
    <w:p w14:paraId="309CE486" w14:textId="77777777" w:rsidR="00EB552E" w:rsidRPr="007B7FFA" w:rsidRDefault="00EB552E" w:rsidP="00EB552E">
      <w:pPr>
        <w:spacing w:after="0" w:line="240" w:lineRule="auto"/>
        <w:jc w:val="both"/>
        <w:rPr>
          <w:sz w:val="20"/>
          <w:szCs w:val="20"/>
        </w:rPr>
      </w:pPr>
      <w:r w:rsidRPr="007B7FFA">
        <w:rPr>
          <w:sz w:val="20"/>
          <w:szCs w:val="20"/>
        </w:rPr>
        <w:t>Pour mémoire, le compte administratif :</w:t>
      </w:r>
    </w:p>
    <w:p w14:paraId="0DF7A53A" w14:textId="6DD3AEA5" w:rsidR="00EB552E" w:rsidRPr="007B7FFA" w:rsidRDefault="002F6DD7" w:rsidP="00EB552E">
      <w:pPr>
        <w:pStyle w:val="Paragraphedeliste"/>
        <w:numPr>
          <w:ilvl w:val="0"/>
          <w:numId w:val="1"/>
        </w:numPr>
        <w:spacing w:after="0" w:line="240" w:lineRule="auto"/>
        <w:jc w:val="both"/>
        <w:rPr>
          <w:sz w:val="20"/>
          <w:szCs w:val="20"/>
        </w:rPr>
      </w:pPr>
      <w:r>
        <w:rPr>
          <w:sz w:val="20"/>
          <w:szCs w:val="20"/>
        </w:rPr>
        <w:t>e</w:t>
      </w:r>
      <w:r w:rsidR="00EB552E" w:rsidRPr="007B7FFA">
        <w:rPr>
          <w:sz w:val="20"/>
          <w:szCs w:val="20"/>
        </w:rPr>
        <w:t>st établi en fin d’exercice par le maire,</w:t>
      </w:r>
    </w:p>
    <w:p w14:paraId="708A4C8D" w14:textId="08B1877F" w:rsidR="00EB552E" w:rsidRPr="007B7FFA" w:rsidRDefault="002F6DD7" w:rsidP="00EB552E">
      <w:pPr>
        <w:pStyle w:val="Paragraphedeliste"/>
        <w:numPr>
          <w:ilvl w:val="0"/>
          <w:numId w:val="1"/>
        </w:numPr>
        <w:spacing w:after="0" w:line="240" w:lineRule="auto"/>
        <w:jc w:val="both"/>
        <w:rPr>
          <w:sz w:val="20"/>
          <w:szCs w:val="20"/>
        </w:rPr>
      </w:pPr>
      <w:r>
        <w:rPr>
          <w:sz w:val="20"/>
          <w:szCs w:val="20"/>
        </w:rPr>
        <w:t>e</w:t>
      </w:r>
      <w:r w:rsidR="00EB552E" w:rsidRPr="007B7FFA">
        <w:rPr>
          <w:sz w:val="20"/>
          <w:szCs w:val="20"/>
        </w:rPr>
        <w:t>st le bilan financier de la commune. Il rend compte des opérations budgétaires exécutées.</w:t>
      </w:r>
    </w:p>
    <w:p w14:paraId="04A7BD0E" w14:textId="1DA7C617" w:rsidR="00EB552E" w:rsidRPr="007B7FFA" w:rsidRDefault="00EB552E" w:rsidP="00EB552E">
      <w:pPr>
        <w:pStyle w:val="Paragraphedeliste"/>
        <w:numPr>
          <w:ilvl w:val="0"/>
          <w:numId w:val="1"/>
        </w:numPr>
        <w:spacing w:after="0" w:line="240" w:lineRule="auto"/>
        <w:jc w:val="both"/>
        <w:rPr>
          <w:sz w:val="20"/>
          <w:szCs w:val="20"/>
        </w:rPr>
      </w:pPr>
      <w:r w:rsidRPr="007B7FFA">
        <w:rPr>
          <w:sz w:val="20"/>
          <w:szCs w:val="20"/>
        </w:rPr>
        <w:t>rapproche des prévisions budgétaires inscrites au budget primitif des réalisations effectives, en dépenses et en recettes, pour les deux sections</w:t>
      </w:r>
      <w:r w:rsidR="002F6DD7">
        <w:rPr>
          <w:sz w:val="20"/>
          <w:szCs w:val="20"/>
        </w:rPr>
        <w:t>,</w:t>
      </w:r>
    </w:p>
    <w:p w14:paraId="320C7111" w14:textId="7DEBF419" w:rsidR="00EB552E" w:rsidRPr="007B7FFA" w:rsidRDefault="002F6DD7" w:rsidP="00EB552E">
      <w:pPr>
        <w:pStyle w:val="Paragraphedeliste"/>
        <w:numPr>
          <w:ilvl w:val="0"/>
          <w:numId w:val="1"/>
        </w:numPr>
        <w:spacing w:after="0" w:line="240" w:lineRule="auto"/>
        <w:jc w:val="both"/>
        <w:rPr>
          <w:sz w:val="20"/>
          <w:szCs w:val="20"/>
        </w:rPr>
      </w:pPr>
      <w:r>
        <w:rPr>
          <w:sz w:val="20"/>
          <w:szCs w:val="20"/>
        </w:rPr>
        <w:t>s</w:t>
      </w:r>
      <w:r w:rsidR="00EB552E" w:rsidRPr="007B7FFA">
        <w:rPr>
          <w:sz w:val="20"/>
          <w:szCs w:val="20"/>
        </w:rPr>
        <w:t>e présente de la même manière que le budget pour permettre la comparaison et présenter les résultats comptables de l’exercice.</w:t>
      </w:r>
    </w:p>
    <w:p w14:paraId="225A6EBF" w14:textId="77777777" w:rsidR="00EB552E" w:rsidRPr="007B7FFA" w:rsidRDefault="00EB552E" w:rsidP="00EB552E">
      <w:pPr>
        <w:pStyle w:val="Paragraphedeliste"/>
        <w:spacing w:after="0" w:line="240" w:lineRule="auto"/>
        <w:jc w:val="both"/>
        <w:rPr>
          <w:sz w:val="20"/>
          <w:szCs w:val="20"/>
        </w:rPr>
      </w:pPr>
    </w:p>
    <w:p w14:paraId="02575980" w14:textId="77777777" w:rsidR="00EB552E" w:rsidRPr="007B7FFA" w:rsidRDefault="00EB552E" w:rsidP="00EB552E">
      <w:pPr>
        <w:spacing w:after="0" w:line="240" w:lineRule="auto"/>
        <w:jc w:val="both"/>
        <w:rPr>
          <w:sz w:val="20"/>
          <w:szCs w:val="20"/>
        </w:rPr>
      </w:pPr>
      <w:r w:rsidRPr="007B7FFA">
        <w:rPr>
          <w:sz w:val="20"/>
          <w:szCs w:val="20"/>
        </w:rPr>
        <w:t>Le compte administratif comporte deux grandes sections bien distinctes :</w:t>
      </w:r>
    </w:p>
    <w:p w14:paraId="6C113B3F" w14:textId="77777777" w:rsidR="00EB552E" w:rsidRPr="007B7FFA" w:rsidRDefault="00EB552E" w:rsidP="00EB552E">
      <w:pPr>
        <w:pStyle w:val="Paragraphedeliste"/>
        <w:numPr>
          <w:ilvl w:val="0"/>
          <w:numId w:val="1"/>
        </w:numPr>
        <w:spacing w:after="0" w:line="240" w:lineRule="auto"/>
        <w:jc w:val="both"/>
        <w:rPr>
          <w:sz w:val="20"/>
          <w:szCs w:val="20"/>
        </w:rPr>
      </w:pPr>
      <w:r w:rsidRPr="007B7FFA">
        <w:rPr>
          <w:b/>
          <w:bCs/>
          <w:color w:val="7030A0"/>
          <w:sz w:val="20"/>
          <w:szCs w:val="20"/>
        </w:rPr>
        <w:t>La section de fonctionnement</w:t>
      </w:r>
      <w:r w:rsidRPr="007B7FFA">
        <w:rPr>
          <w:color w:val="7030A0"/>
          <w:sz w:val="20"/>
          <w:szCs w:val="20"/>
        </w:rPr>
        <w:t xml:space="preserve"> </w:t>
      </w:r>
      <w:r w:rsidRPr="007B7FFA">
        <w:rPr>
          <w:sz w:val="20"/>
          <w:szCs w:val="20"/>
        </w:rPr>
        <w:t>qui concerne la gestion courante de la commune,</w:t>
      </w:r>
    </w:p>
    <w:p w14:paraId="6C1ABF1F" w14:textId="77777777" w:rsidR="00EB552E" w:rsidRPr="007B7FFA" w:rsidRDefault="00EB552E" w:rsidP="00EB552E">
      <w:pPr>
        <w:pStyle w:val="Paragraphedeliste"/>
        <w:numPr>
          <w:ilvl w:val="0"/>
          <w:numId w:val="1"/>
        </w:numPr>
        <w:spacing w:after="0" w:line="240" w:lineRule="auto"/>
        <w:jc w:val="both"/>
        <w:rPr>
          <w:sz w:val="20"/>
          <w:szCs w:val="20"/>
        </w:rPr>
      </w:pPr>
      <w:r w:rsidRPr="007B7FFA">
        <w:rPr>
          <w:b/>
          <w:bCs/>
          <w:color w:val="7030A0"/>
          <w:sz w:val="20"/>
          <w:szCs w:val="20"/>
        </w:rPr>
        <w:t>La section d’investissement</w:t>
      </w:r>
      <w:r w:rsidRPr="007B7FFA">
        <w:rPr>
          <w:color w:val="7030A0"/>
          <w:sz w:val="20"/>
          <w:szCs w:val="20"/>
        </w:rPr>
        <w:t xml:space="preserve"> </w:t>
      </w:r>
      <w:r w:rsidRPr="007B7FFA">
        <w:rPr>
          <w:sz w:val="20"/>
          <w:szCs w:val="20"/>
        </w:rPr>
        <w:t>qui retrace les opérations non courantes, ponctuelles, de nature à modifier le patrimoine de la commune.</w:t>
      </w:r>
    </w:p>
    <w:p w14:paraId="5922F3EF" w14:textId="77777777" w:rsidR="00EB552E" w:rsidRPr="007B7FFA" w:rsidRDefault="00EB552E" w:rsidP="00EB552E">
      <w:pPr>
        <w:pStyle w:val="Paragraphedeliste"/>
        <w:spacing w:after="0" w:line="240" w:lineRule="auto"/>
        <w:jc w:val="both"/>
        <w:rPr>
          <w:sz w:val="20"/>
          <w:szCs w:val="20"/>
        </w:rPr>
      </w:pPr>
    </w:p>
    <w:p w14:paraId="2CF4F26A" w14:textId="77777777" w:rsidR="00EB552E" w:rsidRDefault="00EB552E" w:rsidP="00EB552E">
      <w:pPr>
        <w:jc w:val="both"/>
        <w:rPr>
          <w:sz w:val="20"/>
          <w:szCs w:val="20"/>
        </w:rPr>
      </w:pPr>
      <w:r w:rsidRPr="007B7FFA">
        <w:rPr>
          <w:sz w:val="20"/>
          <w:szCs w:val="20"/>
        </w:rPr>
        <w:t>Contrairement à un budget qui doit être équilibré (dépenses = recettes pour chaque section), le compte administratif fait ressortir des écarts entre les dépenses et les recettes de chaque section. Son objectif est de dégager les résultats de l’exercice en sachant que les informations qui y figurent sont concordantes avec celles présentées par le Trésorier dans son compte de gestion.</w:t>
      </w:r>
    </w:p>
    <w:p w14:paraId="4C049723" w14:textId="781C3DEE" w:rsidR="00EB552E" w:rsidRDefault="00EB552E" w:rsidP="00EB552E">
      <w:pPr>
        <w:jc w:val="both"/>
        <w:rPr>
          <w:sz w:val="20"/>
          <w:szCs w:val="20"/>
        </w:rPr>
      </w:pPr>
      <w:r w:rsidRPr="007B7FFA">
        <w:rPr>
          <w:sz w:val="20"/>
          <w:szCs w:val="20"/>
        </w:rPr>
        <w:t xml:space="preserve">On note une exécution financière saine au service des </w:t>
      </w:r>
      <w:r w:rsidR="00EB27B3">
        <w:rPr>
          <w:sz w:val="20"/>
          <w:szCs w:val="20"/>
        </w:rPr>
        <w:t>habitants</w:t>
      </w:r>
      <w:r w:rsidRPr="007B7FFA">
        <w:rPr>
          <w:sz w:val="20"/>
          <w:szCs w:val="20"/>
        </w:rPr>
        <w:t>.</w:t>
      </w:r>
    </w:p>
    <w:p w14:paraId="6726F041" w14:textId="6D201444" w:rsidR="00EB552E" w:rsidRDefault="00EB552E" w:rsidP="003147C9">
      <w:pPr>
        <w:shd w:val="clear" w:color="auto" w:fill="6699FF"/>
        <w:spacing w:after="0" w:line="240" w:lineRule="auto"/>
        <w:jc w:val="center"/>
        <w:rPr>
          <w:b/>
          <w:bCs/>
          <w:sz w:val="32"/>
          <w:szCs w:val="32"/>
        </w:rPr>
      </w:pPr>
      <w:r w:rsidRPr="004C189A">
        <w:rPr>
          <w:b/>
          <w:bCs/>
          <w:sz w:val="32"/>
          <w:szCs w:val="32"/>
        </w:rPr>
        <w:t>Note de présentation du compte administratif 202</w:t>
      </w:r>
      <w:r w:rsidR="00E60CC5">
        <w:rPr>
          <w:b/>
          <w:bCs/>
          <w:sz w:val="32"/>
          <w:szCs w:val="32"/>
        </w:rPr>
        <w:t>3</w:t>
      </w:r>
      <w:r>
        <w:rPr>
          <w:b/>
          <w:bCs/>
          <w:sz w:val="32"/>
          <w:szCs w:val="32"/>
        </w:rPr>
        <w:t xml:space="preserve"> </w:t>
      </w:r>
    </w:p>
    <w:p w14:paraId="5BDBE5F2" w14:textId="33159725" w:rsidR="00EB552E" w:rsidRPr="004C189A" w:rsidRDefault="00D64052" w:rsidP="003147C9">
      <w:pPr>
        <w:shd w:val="clear" w:color="auto" w:fill="6699FF"/>
        <w:spacing w:after="0" w:line="240" w:lineRule="auto"/>
        <w:jc w:val="center"/>
        <w:rPr>
          <w:b/>
          <w:bCs/>
          <w:sz w:val="32"/>
          <w:szCs w:val="32"/>
        </w:rPr>
      </w:pPr>
      <w:r>
        <w:rPr>
          <w:b/>
          <w:bCs/>
          <w:sz w:val="32"/>
          <w:szCs w:val="32"/>
        </w:rPr>
        <w:t>Budget général</w:t>
      </w:r>
    </w:p>
    <w:p w14:paraId="0D2A5A7F" w14:textId="77777777" w:rsidR="00EB552E" w:rsidRPr="007B7FFA" w:rsidRDefault="00EB552E" w:rsidP="004C189A">
      <w:pPr>
        <w:jc w:val="both"/>
        <w:rPr>
          <w:sz w:val="20"/>
          <w:szCs w:val="20"/>
        </w:rPr>
      </w:pPr>
    </w:p>
    <w:p w14:paraId="2CDE716F" w14:textId="77777777" w:rsidR="004C189A" w:rsidRPr="007B7FFA" w:rsidRDefault="006514DB" w:rsidP="003147C9">
      <w:pPr>
        <w:shd w:val="clear" w:color="auto" w:fill="6699FF"/>
        <w:rPr>
          <w:b/>
          <w:bCs/>
          <w:color w:val="FFFFFF" w:themeColor="background1"/>
          <w:sz w:val="20"/>
          <w:szCs w:val="20"/>
        </w:rPr>
      </w:pPr>
      <w:r w:rsidRPr="007B7FFA">
        <w:rPr>
          <w:b/>
          <w:bCs/>
          <w:color w:val="FFFFFF" w:themeColor="background1"/>
          <w:sz w:val="20"/>
          <w:szCs w:val="20"/>
        </w:rPr>
        <w:t xml:space="preserve">1. </w:t>
      </w:r>
      <w:r w:rsidR="006672E2" w:rsidRPr="007B7FFA">
        <w:rPr>
          <w:b/>
          <w:bCs/>
          <w:color w:val="FFFFFF" w:themeColor="background1"/>
          <w:sz w:val="20"/>
          <w:szCs w:val="20"/>
        </w:rPr>
        <w:t>La section de fonctionnement</w:t>
      </w:r>
    </w:p>
    <w:p w14:paraId="33353337" w14:textId="77777777" w:rsidR="00105778" w:rsidRDefault="00105778" w:rsidP="007B7FFA">
      <w:pPr>
        <w:shd w:val="clear" w:color="auto" w:fill="FFFFFF" w:themeFill="background1"/>
        <w:spacing w:after="0" w:line="240" w:lineRule="auto"/>
        <w:rPr>
          <w:b/>
          <w:bCs/>
          <w:sz w:val="20"/>
          <w:szCs w:val="20"/>
        </w:rPr>
      </w:pPr>
    </w:p>
    <w:p w14:paraId="6CB28B1C" w14:textId="174AFF6A" w:rsidR="006514DB" w:rsidRPr="007B7FFA" w:rsidRDefault="006514DB" w:rsidP="007B7FFA">
      <w:pPr>
        <w:shd w:val="clear" w:color="auto" w:fill="FFFFFF" w:themeFill="background1"/>
        <w:spacing w:after="0" w:line="240" w:lineRule="auto"/>
        <w:rPr>
          <w:b/>
          <w:bCs/>
          <w:sz w:val="20"/>
          <w:szCs w:val="20"/>
        </w:rPr>
      </w:pPr>
      <w:r w:rsidRPr="007B7FFA">
        <w:rPr>
          <w:b/>
          <w:bCs/>
          <w:sz w:val="20"/>
          <w:szCs w:val="20"/>
        </w:rPr>
        <w:t>1.1 Résultat</w:t>
      </w:r>
    </w:p>
    <w:p w14:paraId="188F9E92" w14:textId="2F090BFF" w:rsidR="006672E2" w:rsidRDefault="006514DB" w:rsidP="007B7FFA">
      <w:pPr>
        <w:shd w:val="clear" w:color="auto" w:fill="FFFFFF" w:themeFill="background1"/>
        <w:spacing w:after="0" w:line="240" w:lineRule="auto"/>
        <w:rPr>
          <w:b/>
          <w:bCs/>
          <w:sz w:val="20"/>
          <w:szCs w:val="20"/>
        </w:rPr>
      </w:pPr>
      <w:r w:rsidRPr="007B7FFA">
        <w:rPr>
          <w:b/>
          <w:bCs/>
          <w:sz w:val="20"/>
          <w:szCs w:val="20"/>
        </w:rPr>
        <w:t xml:space="preserve">a) </w:t>
      </w:r>
      <w:r w:rsidR="006672E2" w:rsidRPr="007B7FFA">
        <w:rPr>
          <w:b/>
          <w:bCs/>
          <w:sz w:val="20"/>
          <w:szCs w:val="20"/>
        </w:rPr>
        <w:t>Résultats de fonctionnement pour l’année 202</w:t>
      </w:r>
      <w:r w:rsidR="00D36D2F">
        <w:rPr>
          <w:b/>
          <w:bCs/>
          <w:sz w:val="20"/>
          <w:szCs w:val="20"/>
        </w:rPr>
        <w:t>3</w:t>
      </w:r>
    </w:p>
    <w:p w14:paraId="4E791C99" w14:textId="77777777" w:rsidR="00105778" w:rsidRPr="007B7FFA" w:rsidRDefault="00105778" w:rsidP="007B7FFA">
      <w:pPr>
        <w:shd w:val="clear" w:color="auto" w:fill="FFFFFF" w:themeFill="background1"/>
        <w:spacing w:after="0" w:line="240" w:lineRule="auto"/>
        <w:rPr>
          <w:b/>
          <w:bCs/>
          <w:sz w:val="20"/>
          <w:szCs w:val="20"/>
        </w:rPr>
      </w:pPr>
    </w:p>
    <w:tbl>
      <w:tblPr>
        <w:tblStyle w:val="Grilledutableau"/>
        <w:tblW w:w="5670" w:type="dxa"/>
        <w:jc w:val="center"/>
        <w:tblLook w:val="04A0" w:firstRow="1" w:lastRow="0" w:firstColumn="1" w:lastColumn="0" w:noHBand="0" w:noVBand="1"/>
      </w:tblPr>
      <w:tblGrid>
        <w:gridCol w:w="2835"/>
        <w:gridCol w:w="2835"/>
      </w:tblGrid>
      <w:tr w:rsidR="00105778" w:rsidRPr="007B7FFA" w14:paraId="5A4E9474" w14:textId="77777777" w:rsidTr="00105778">
        <w:trPr>
          <w:trHeight w:val="510"/>
          <w:jc w:val="center"/>
        </w:trPr>
        <w:tc>
          <w:tcPr>
            <w:tcW w:w="2835" w:type="dxa"/>
            <w:tcBorders>
              <w:right w:val="single" w:sz="4" w:space="0" w:color="auto"/>
            </w:tcBorders>
            <w:vAlign w:val="center"/>
          </w:tcPr>
          <w:p w14:paraId="58C30202" w14:textId="77777777" w:rsidR="00105778" w:rsidRPr="007B7FFA" w:rsidRDefault="00105778" w:rsidP="00105778">
            <w:pPr>
              <w:jc w:val="center"/>
              <w:rPr>
                <w:sz w:val="20"/>
                <w:szCs w:val="20"/>
              </w:rPr>
            </w:pPr>
            <w:r w:rsidRPr="007B7FFA">
              <w:rPr>
                <w:sz w:val="20"/>
                <w:szCs w:val="20"/>
              </w:rPr>
              <w:t>Recettes de fonctionnement</w:t>
            </w:r>
          </w:p>
        </w:tc>
        <w:tc>
          <w:tcPr>
            <w:tcW w:w="2835" w:type="dxa"/>
            <w:tcBorders>
              <w:top w:val="single" w:sz="4" w:space="0" w:color="auto"/>
              <w:left w:val="single" w:sz="4" w:space="0" w:color="auto"/>
              <w:bottom w:val="single" w:sz="4" w:space="0" w:color="auto"/>
              <w:right w:val="single" w:sz="4" w:space="0" w:color="auto"/>
            </w:tcBorders>
            <w:vAlign w:val="center"/>
          </w:tcPr>
          <w:p w14:paraId="4C30DEB1" w14:textId="328D33F0" w:rsidR="00105778" w:rsidRPr="007B7FFA" w:rsidRDefault="00D36D2F" w:rsidP="00105778">
            <w:pPr>
              <w:jc w:val="center"/>
              <w:rPr>
                <w:sz w:val="20"/>
                <w:szCs w:val="20"/>
              </w:rPr>
            </w:pPr>
            <w:r>
              <w:rPr>
                <w:sz w:val="20"/>
                <w:szCs w:val="20"/>
              </w:rPr>
              <w:t>2 808 795,40</w:t>
            </w:r>
            <w:r w:rsidR="00105778">
              <w:rPr>
                <w:sz w:val="20"/>
                <w:szCs w:val="20"/>
              </w:rPr>
              <w:t xml:space="preserve"> €</w:t>
            </w:r>
          </w:p>
        </w:tc>
      </w:tr>
      <w:tr w:rsidR="00105778" w:rsidRPr="007B7FFA" w14:paraId="055D028C" w14:textId="77777777" w:rsidTr="00105778">
        <w:trPr>
          <w:trHeight w:val="510"/>
          <w:jc w:val="center"/>
        </w:trPr>
        <w:tc>
          <w:tcPr>
            <w:tcW w:w="2835" w:type="dxa"/>
            <w:tcBorders>
              <w:bottom w:val="single" w:sz="4" w:space="0" w:color="auto"/>
              <w:right w:val="single" w:sz="4" w:space="0" w:color="auto"/>
            </w:tcBorders>
            <w:vAlign w:val="center"/>
          </w:tcPr>
          <w:p w14:paraId="13A2115E" w14:textId="77777777" w:rsidR="00105778" w:rsidRPr="007B7FFA" w:rsidRDefault="00105778" w:rsidP="00105778">
            <w:pPr>
              <w:jc w:val="center"/>
              <w:rPr>
                <w:sz w:val="20"/>
                <w:szCs w:val="20"/>
              </w:rPr>
            </w:pPr>
            <w:r w:rsidRPr="007B7FFA">
              <w:rPr>
                <w:sz w:val="20"/>
                <w:szCs w:val="20"/>
              </w:rPr>
              <w:t>Dépenses de fonctionnement</w:t>
            </w:r>
          </w:p>
        </w:tc>
        <w:tc>
          <w:tcPr>
            <w:tcW w:w="2835" w:type="dxa"/>
            <w:tcBorders>
              <w:top w:val="single" w:sz="4" w:space="0" w:color="auto"/>
              <w:left w:val="single" w:sz="4" w:space="0" w:color="auto"/>
              <w:bottom w:val="single" w:sz="4" w:space="0" w:color="auto"/>
              <w:right w:val="single" w:sz="4" w:space="0" w:color="auto"/>
            </w:tcBorders>
            <w:vAlign w:val="center"/>
          </w:tcPr>
          <w:p w14:paraId="4B80F3DA" w14:textId="7858DB38" w:rsidR="00105778" w:rsidRPr="007B7FFA" w:rsidRDefault="00D36D2F" w:rsidP="00105778">
            <w:pPr>
              <w:jc w:val="center"/>
              <w:rPr>
                <w:sz w:val="20"/>
                <w:szCs w:val="20"/>
              </w:rPr>
            </w:pPr>
            <w:r>
              <w:rPr>
                <w:sz w:val="20"/>
                <w:szCs w:val="20"/>
              </w:rPr>
              <w:t>2 584 336,77</w:t>
            </w:r>
            <w:r w:rsidR="00105778">
              <w:rPr>
                <w:sz w:val="20"/>
                <w:szCs w:val="20"/>
              </w:rPr>
              <w:t xml:space="preserve"> €</w:t>
            </w:r>
          </w:p>
        </w:tc>
      </w:tr>
      <w:tr w:rsidR="00105778" w:rsidRPr="007B7FFA" w14:paraId="2AED5828" w14:textId="77777777" w:rsidTr="00105778">
        <w:trPr>
          <w:trHeight w:val="510"/>
          <w:jc w:val="center"/>
        </w:trPr>
        <w:tc>
          <w:tcPr>
            <w:tcW w:w="2835" w:type="dxa"/>
            <w:tcBorders>
              <w:top w:val="single" w:sz="4" w:space="0" w:color="auto"/>
              <w:bottom w:val="single" w:sz="4" w:space="0" w:color="auto"/>
              <w:right w:val="single" w:sz="4" w:space="0" w:color="auto"/>
            </w:tcBorders>
            <w:vAlign w:val="center"/>
          </w:tcPr>
          <w:p w14:paraId="5C377539" w14:textId="3E9033B7" w:rsidR="00105778" w:rsidRPr="007B7FFA" w:rsidRDefault="00105778" w:rsidP="00105778">
            <w:pPr>
              <w:jc w:val="center"/>
              <w:rPr>
                <w:sz w:val="20"/>
                <w:szCs w:val="20"/>
              </w:rPr>
            </w:pPr>
            <w:r w:rsidRPr="007B7FFA">
              <w:rPr>
                <w:sz w:val="20"/>
                <w:szCs w:val="20"/>
              </w:rPr>
              <w:t>Résultats de l’année 202</w:t>
            </w:r>
            <w:r>
              <w:rPr>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14:paraId="5698E6AB" w14:textId="17A21D2B" w:rsidR="00105778" w:rsidRPr="007B7FFA" w:rsidRDefault="00105778" w:rsidP="00105778">
            <w:pPr>
              <w:jc w:val="center"/>
              <w:rPr>
                <w:sz w:val="20"/>
                <w:szCs w:val="20"/>
              </w:rPr>
            </w:pPr>
            <w:r>
              <w:rPr>
                <w:sz w:val="20"/>
                <w:szCs w:val="20"/>
              </w:rPr>
              <w:t xml:space="preserve">+ </w:t>
            </w:r>
            <w:r w:rsidR="00D36D2F">
              <w:rPr>
                <w:sz w:val="20"/>
                <w:szCs w:val="20"/>
              </w:rPr>
              <w:t>224</w:t>
            </w:r>
            <w:r>
              <w:rPr>
                <w:sz w:val="20"/>
                <w:szCs w:val="20"/>
              </w:rPr>
              <w:t xml:space="preserve"> </w:t>
            </w:r>
            <w:r w:rsidR="00D36D2F">
              <w:rPr>
                <w:sz w:val="20"/>
                <w:szCs w:val="20"/>
              </w:rPr>
              <w:t>458</w:t>
            </w:r>
            <w:r>
              <w:rPr>
                <w:sz w:val="20"/>
                <w:szCs w:val="20"/>
              </w:rPr>
              <w:t>,</w:t>
            </w:r>
            <w:r w:rsidR="00D36D2F">
              <w:rPr>
                <w:sz w:val="20"/>
                <w:szCs w:val="20"/>
              </w:rPr>
              <w:t>63</w:t>
            </w:r>
            <w:r>
              <w:rPr>
                <w:sz w:val="20"/>
                <w:szCs w:val="20"/>
              </w:rPr>
              <w:t xml:space="preserve"> €</w:t>
            </w:r>
          </w:p>
        </w:tc>
      </w:tr>
    </w:tbl>
    <w:p w14:paraId="475AEF12" w14:textId="77777777" w:rsidR="001A29F8" w:rsidRDefault="001A29F8" w:rsidP="007B7FFA">
      <w:pPr>
        <w:spacing w:after="0" w:line="240" w:lineRule="auto"/>
        <w:jc w:val="both"/>
        <w:rPr>
          <w:b/>
          <w:bCs/>
          <w:sz w:val="20"/>
          <w:szCs w:val="20"/>
        </w:rPr>
      </w:pPr>
    </w:p>
    <w:p w14:paraId="0005E468" w14:textId="03FC558A" w:rsidR="006514DB" w:rsidRPr="007B7FFA" w:rsidRDefault="006514DB" w:rsidP="00EB27B3">
      <w:pPr>
        <w:spacing w:after="0" w:line="240" w:lineRule="auto"/>
        <w:jc w:val="both"/>
        <w:rPr>
          <w:b/>
          <w:bCs/>
          <w:sz w:val="20"/>
          <w:szCs w:val="20"/>
        </w:rPr>
      </w:pPr>
      <w:r w:rsidRPr="007B7FFA">
        <w:rPr>
          <w:b/>
          <w:bCs/>
          <w:sz w:val="20"/>
          <w:szCs w:val="20"/>
        </w:rPr>
        <w:t>1.2 Analyse</w:t>
      </w:r>
    </w:p>
    <w:p w14:paraId="7D182A11" w14:textId="77777777" w:rsidR="006514DB" w:rsidRPr="007B7FFA" w:rsidRDefault="006514DB" w:rsidP="006514DB">
      <w:pPr>
        <w:jc w:val="both"/>
        <w:rPr>
          <w:b/>
          <w:bCs/>
          <w:color w:val="7030A0"/>
          <w:sz w:val="20"/>
          <w:szCs w:val="20"/>
        </w:rPr>
      </w:pPr>
      <w:r w:rsidRPr="007B7FFA">
        <w:rPr>
          <w:b/>
          <w:bCs/>
          <w:color w:val="7030A0"/>
          <w:sz w:val="20"/>
          <w:szCs w:val="20"/>
        </w:rPr>
        <w:t>Les dépenses de fonctionnement :</w:t>
      </w:r>
    </w:p>
    <w:p w14:paraId="2312C88A" w14:textId="77777777" w:rsidR="006514DB" w:rsidRPr="007B7FFA" w:rsidRDefault="006514DB" w:rsidP="006514DB">
      <w:pPr>
        <w:jc w:val="both"/>
        <w:rPr>
          <w:sz w:val="20"/>
          <w:szCs w:val="20"/>
        </w:rPr>
      </w:pPr>
      <w:r w:rsidRPr="007B7FFA">
        <w:rPr>
          <w:sz w:val="20"/>
          <w:szCs w:val="20"/>
        </w:rPr>
        <w:t>Les dépenses de fonctionnement regroupent toutes les dépenses de gestion courante nécessaires au bon fonctionnement des divers services communaux notamment :</w:t>
      </w:r>
    </w:p>
    <w:p w14:paraId="22A408DD" w14:textId="77777777" w:rsidR="00353EB0" w:rsidRPr="007B7FFA" w:rsidRDefault="00B608FC" w:rsidP="00D36D2F">
      <w:pPr>
        <w:pStyle w:val="Paragraphedeliste"/>
        <w:numPr>
          <w:ilvl w:val="0"/>
          <w:numId w:val="1"/>
        </w:numPr>
        <w:spacing w:after="0" w:line="240" w:lineRule="auto"/>
        <w:ind w:right="140"/>
        <w:jc w:val="both"/>
        <w:rPr>
          <w:b/>
          <w:bCs/>
          <w:sz w:val="20"/>
          <w:szCs w:val="20"/>
          <w:u w:val="single"/>
        </w:rPr>
      </w:pPr>
      <w:r>
        <w:rPr>
          <w:b/>
          <w:bCs/>
          <w:sz w:val="20"/>
          <w:szCs w:val="20"/>
          <w:u w:val="single"/>
        </w:rPr>
        <w:t xml:space="preserve">1) </w:t>
      </w:r>
      <w:r w:rsidR="006514DB" w:rsidRPr="007B7FFA">
        <w:rPr>
          <w:b/>
          <w:bCs/>
          <w:sz w:val="20"/>
          <w:szCs w:val="20"/>
          <w:u w:val="single"/>
        </w:rPr>
        <w:t>Les charges à caractère général (chapitre 011)</w:t>
      </w:r>
    </w:p>
    <w:p w14:paraId="09F4B8A4" w14:textId="77777777" w:rsidR="00772ADB" w:rsidRPr="000274CA" w:rsidRDefault="00353EB0" w:rsidP="00D36D2F">
      <w:pPr>
        <w:spacing w:after="0" w:line="240" w:lineRule="auto"/>
        <w:ind w:right="140"/>
        <w:jc w:val="both"/>
        <w:rPr>
          <w:sz w:val="20"/>
          <w:szCs w:val="20"/>
        </w:rPr>
      </w:pPr>
      <w:r w:rsidRPr="007B7FFA">
        <w:rPr>
          <w:sz w:val="20"/>
          <w:szCs w:val="20"/>
        </w:rPr>
        <w:t xml:space="preserve">Ce chapitre contient toutes les dépenses relatives aux bâtiments communaux, </w:t>
      </w:r>
      <w:r w:rsidR="00EB552E">
        <w:rPr>
          <w:sz w:val="20"/>
          <w:szCs w:val="20"/>
        </w:rPr>
        <w:t xml:space="preserve">à </w:t>
      </w:r>
      <w:r w:rsidRPr="007B7FFA">
        <w:rPr>
          <w:sz w:val="20"/>
          <w:szCs w:val="20"/>
        </w:rPr>
        <w:t xml:space="preserve">l’énergie, </w:t>
      </w:r>
      <w:r w:rsidR="00EB552E">
        <w:rPr>
          <w:sz w:val="20"/>
          <w:szCs w:val="20"/>
        </w:rPr>
        <w:t xml:space="preserve">aux </w:t>
      </w:r>
      <w:r w:rsidRPr="007B7FFA">
        <w:rPr>
          <w:sz w:val="20"/>
          <w:szCs w:val="20"/>
        </w:rPr>
        <w:t xml:space="preserve">frais de communication, </w:t>
      </w:r>
      <w:r w:rsidR="00EB552E">
        <w:rPr>
          <w:sz w:val="20"/>
          <w:szCs w:val="20"/>
        </w:rPr>
        <w:t>aux</w:t>
      </w:r>
      <w:r w:rsidRPr="007B7FFA">
        <w:rPr>
          <w:sz w:val="20"/>
          <w:szCs w:val="20"/>
        </w:rPr>
        <w:t xml:space="preserve"> contrats de </w:t>
      </w:r>
      <w:r w:rsidR="00772ADB" w:rsidRPr="007B7FFA">
        <w:rPr>
          <w:sz w:val="20"/>
          <w:szCs w:val="20"/>
        </w:rPr>
        <w:t xml:space="preserve">maintenance et prestations de services, </w:t>
      </w:r>
      <w:r w:rsidR="00EB552E">
        <w:rPr>
          <w:sz w:val="20"/>
          <w:szCs w:val="20"/>
        </w:rPr>
        <w:t>aux</w:t>
      </w:r>
      <w:r w:rsidR="00772ADB" w:rsidRPr="007B7FFA">
        <w:rPr>
          <w:sz w:val="20"/>
          <w:szCs w:val="20"/>
        </w:rPr>
        <w:t xml:space="preserve"> assurances, </w:t>
      </w:r>
      <w:r w:rsidR="00EB552E">
        <w:rPr>
          <w:sz w:val="20"/>
          <w:szCs w:val="20"/>
        </w:rPr>
        <w:t>aux</w:t>
      </w:r>
      <w:r w:rsidR="00772ADB" w:rsidRPr="007B7FFA">
        <w:rPr>
          <w:sz w:val="20"/>
          <w:szCs w:val="20"/>
        </w:rPr>
        <w:t xml:space="preserve"> achats de petits matériels et d’entretien courant, </w:t>
      </w:r>
      <w:r w:rsidR="00EB552E">
        <w:rPr>
          <w:sz w:val="20"/>
          <w:szCs w:val="20"/>
        </w:rPr>
        <w:t xml:space="preserve">aux </w:t>
      </w:r>
      <w:r w:rsidR="00772ADB" w:rsidRPr="007B7FFA">
        <w:rPr>
          <w:sz w:val="20"/>
          <w:szCs w:val="20"/>
        </w:rPr>
        <w:t xml:space="preserve">fournitures administratives et scolaires, </w:t>
      </w:r>
      <w:r w:rsidR="00EB552E">
        <w:rPr>
          <w:sz w:val="20"/>
          <w:szCs w:val="20"/>
        </w:rPr>
        <w:t>aux</w:t>
      </w:r>
      <w:r w:rsidR="00772ADB" w:rsidRPr="007B7FFA">
        <w:rPr>
          <w:sz w:val="20"/>
          <w:szCs w:val="20"/>
        </w:rPr>
        <w:t xml:space="preserve"> fêtes et cérémonies, </w:t>
      </w:r>
      <w:r w:rsidR="00EB552E">
        <w:rPr>
          <w:sz w:val="20"/>
          <w:szCs w:val="20"/>
        </w:rPr>
        <w:t xml:space="preserve">à </w:t>
      </w:r>
      <w:r w:rsidR="00772ADB" w:rsidRPr="007B7FFA">
        <w:rPr>
          <w:sz w:val="20"/>
          <w:szCs w:val="20"/>
        </w:rPr>
        <w:t xml:space="preserve">l’impression du bulletin municipal, </w:t>
      </w:r>
      <w:r w:rsidR="00EB552E">
        <w:rPr>
          <w:sz w:val="20"/>
          <w:szCs w:val="20"/>
        </w:rPr>
        <w:t xml:space="preserve">aux </w:t>
      </w:r>
      <w:r w:rsidR="00772ADB" w:rsidRPr="007B7FFA">
        <w:rPr>
          <w:sz w:val="20"/>
          <w:szCs w:val="20"/>
        </w:rPr>
        <w:t>taxes foncières payées par la commune, …</w:t>
      </w:r>
    </w:p>
    <w:p w14:paraId="0C5C2174" w14:textId="4D7E7290" w:rsidR="00772ADB" w:rsidRPr="007B7FFA" w:rsidRDefault="00772ADB" w:rsidP="00CD3836">
      <w:pPr>
        <w:spacing w:after="0" w:line="240" w:lineRule="auto"/>
        <w:jc w:val="both"/>
        <w:rPr>
          <w:sz w:val="20"/>
          <w:szCs w:val="20"/>
        </w:rPr>
      </w:pPr>
      <w:r w:rsidRPr="008A1DF5">
        <w:rPr>
          <w:sz w:val="20"/>
          <w:szCs w:val="20"/>
        </w:rPr>
        <w:t>Pour 202</w:t>
      </w:r>
      <w:r w:rsidR="00D36D2F" w:rsidRPr="008A1DF5">
        <w:rPr>
          <w:sz w:val="20"/>
          <w:szCs w:val="20"/>
        </w:rPr>
        <w:t>3</w:t>
      </w:r>
      <w:r w:rsidRPr="008A1DF5">
        <w:rPr>
          <w:sz w:val="20"/>
          <w:szCs w:val="20"/>
        </w:rPr>
        <w:t xml:space="preserve">, </w:t>
      </w:r>
      <w:r w:rsidR="00A21241" w:rsidRPr="008A1DF5">
        <w:rPr>
          <w:sz w:val="20"/>
          <w:szCs w:val="20"/>
        </w:rPr>
        <w:t>les dépenses au sein de ce chapitre</w:t>
      </w:r>
      <w:r w:rsidRPr="008A1DF5">
        <w:rPr>
          <w:sz w:val="20"/>
          <w:szCs w:val="20"/>
        </w:rPr>
        <w:t xml:space="preserve"> s’élèvent à </w:t>
      </w:r>
      <w:bookmarkStart w:id="0" w:name="_Hlk96347350"/>
      <w:r w:rsidR="0091399C" w:rsidRPr="008A1DF5">
        <w:rPr>
          <w:sz w:val="20"/>
          <w:szCs w:val="20"/>
        </w:rPr>
        <w:t>633 950,29</w:t>
      </w:r>
      <w:r w:rsidR="00EB27B3" w:rsidRPr="008A1DF5">
        <w:rPr>
          <w:sz w:val="20"/>
          <w:szCs w:val="20"/>
        </w:rPr>
        <w:t xml:space="preserve"> </w:t>
      </w:r>
      <w:bookmarkEnd w:id="0"/>
      <w:r w:rsidR="00AE5BA0">
        <w:rPr>
          <w:sz w:val="20"/>
          <w:szCs w:val="20"/>
        </w:rPr>
        <w:t>€</w:t>
      </w:r>
      <w:r w:rsidRPr="008A1DF5">
        <w:rPr>
          <w:b/>
          <w:bCs/>
          <w:sz w:val="20"/>
          <w:szCs w:val="20"/>
        </w:rPr>
        <w:t>.</w:t>
      </w:r>
      <w:r w:rsidR="00590133" w:rsidRPr="008A1DF5">
        <w:rPr>
          <w:sz w:val="20"/>
          <w:szCs w:val="20"/>
        </w:rPr>
        <w:t xml:space="preserve"> </w:t>
      </w:r>
      <w:r w:rsidRPr="008A1DF5">
        <w:rPr>
          <w:sz w:val="20"/>
          <w:szCs w:val="20"/>
        </w:rPr>
        <w:t xml:space="preserve">On observe </w:t>
      </w:r>
      <w:r w:rsidR="00A21241" w:rsidRPr="008A1DF5">
        <w:rPr>
          <w:sz w:val="20"/>
          <w:szCs w:val="20"/>
        </w:rPr>
        <w:t xml:space="preserve">toutefois </w:t>
      </w:r>
      <w:r w:rsidRPr="008A1DF5">
        <w:rPr>
          <w:sz w:val="20"/>
          <w:szCs w:val="20"/>
        </w:rPr>
        <w:t>un écart par rapport à nos prévisions</w:t>
      </w:r>
      <w:r w:rsidR="00A21241" w:rsidRPr="008A1DF5">
        <w:rPr>
          <w:sz w:val="20"/>
          <w:szCs w:val="20"/>
        </w:rPr>
        <w:t xml:space="preserve"> </w:t>
      </w:r>
      <w:r w:rsidR="00EB552E" w:rsidRPr="008A1DF5">
        <w:rPr>
          <w:sz w:val="20"/>
          <w:szCs w:val="20"/>
        </w:rPr>
        <w:t xml:space="preserve">de </w:t>
      </w:r>
      <w:r w:rsidR="0062618D" w:rsidRPr="008A1DF5">
        <w:rPr>
          <w:sz w:val="20"/>
          <w:szCs w:val="20"/>
        </w:rPr>
        <w:t xml:space="preserve">- </w:t>
      </w:r>
      <w:r w:rsidR="0091399C" w:rsidRPr="008A1DF5">
        <w:rPr>
          <w:sz w:val="20"/>
          <w:szCs w:val="20"/>
        </w:rPr>
        <w:t>213</w:t>
      </w:r>
      <w:r w:rsidR="0062618D" w:rsidRPr="008A1DF5">
        <w:rPr>
          <w:sz w:val="20"/>
          <w:szCs w:val="20"/>
        </w:rPr>
        <w:t xml:space="preserve"> </w:t>
      </w:r>
      <w:r w:rsidR="0091399C" w:rsidRPr="008A1DF5">
        <w:rPr>
          <w:sz w:val="20"/>
          <w:szCs w:val="20"/>
        </w:rPr>
        <w:t>133,71</w:t>
      </w:r>
      <w:r w:rsidR="00EB27B3" w:rsidRPr="008A1DF5">
        <w:rPr>
          <w:sz w:val="20"/>
          <w:szCs w:val="20"/>
        </w:rPr>
        <w:t xml:space="preserve"> </w:t>
      </w:r>
      <w:r w:rsidR="00D07ADB" w:rsidRPr="008A1DF5">
        <w:rPr>
          <w:sz w:val="20"/>
          <w:szCs w:val="20"/>
        </w:rPr>
        <w:t>€</w:t>
      </w:r>
      <w:r w:rsidR="0062618D">
        <w:rPr>
          <w:sz w:val="20"/>
          <w:szCs w:val="20"/>
        </w:rPr>
        <w:t>.</w:t>
      </w:r>
    </w:p>
    <w:p w14:paraId="457C299F" w14:textId="77777777" w:rsidR="00CD3836" w:rsidRDefault="00CD3836" w:rsidP="00CD3836">
      <w:pPr>
        <w:spacing w:after="0" w:line="240" w:lineRule="auto"/>
        <w:jc w:val="both"/>
        <w:rPr>
          <w:sz w:val="20"/>
          <w:szCs w:val="20"/>
        </w:rPr>
      </w:pPr>
    </w:p>
    <w:p w14:paraId="14F8C7ED" w14:textId="77777777" w:rsidR="001C4FA6" w:rsidRDefault="001C4FA6" w:rsidP="00CD3836">
      <w:pPr>
        <w:spacing w:after="0" w:line="240" w:lineRule="auto"/>
        <w:jc w:val="both"/>
        <w:rPr>
          <w:sz w:val="20"/>
          <w:szCs w:val="20"/>
        </w:rPr>
      </w:pPr>
    </w:p>
    <w:p w14:paraId="42C4A866" w14:textId="77777777" w:rsidR="001C4FA6" w:rsidRPr="007B7FFA" w:rsidRDefault="001C4FA6" w:rsidP="00CD3836">
      <w:pPr>
        <w:spacing w:after="0" w:line="240" w:lineRule="auto"/>
        <w:jc w:val="both"/>
        <w:rPr>
          <w:sz w:val="20"/>
          <w:szCs w:val="20"/>
        </w:rPr>
      </w:pPr>
    </w:p>
    <w:p w14:paraId="4755815E" w14:textId="77777777" w:rsidR="009766E5" w:rsidRPr="007B7FFA" w:rsidRDefault="00B608FC" w:rsidP="00A21241">
      <w:pPr>
        <w:pStyle w:val="Paragraphedeliste"/>
        <w:numPr>
          <w:ilvl w:val="0"/>
          <w:numId w:val="1"/>
        </w:numPr>
        <w:spacing w:after="0" w:line="240" w:lineRule="auto"/>
        <w:jc w:val="both"/>
        <w:rPr>
          <w:b/>
          <w:bCs/>
          <w:sz w:val="20"/>
          <w:szCs w:val="20"/>
          <w:u w:val="single"/>
        </w:rPr>
      </w:pPr>
      <w:r>
        <w:rPr>
          <w:b/>
          <w:bCs/>
          <w:sz w:val="20"/>
          <w:szCs w:val="20"/>
          <w:u w:val="single"/>
        </w:rPr>
        <w:lastRenderedPageBreak/>
        <w:t xml:space="preserve">2) </w:t>
      </w:r>
      <w:r w:rsidR="00977A78" w:rsidRPr="007B7FFA">
        <w:rPr>
          <w:b/>
          <w:bCs/>
          <w:sz w:val="20"/>
          <w:szCs w:val="20"/>
          <w:u w:val="single"/>
        </w:rPr>
        <w:t xml:space="preserve">Les dépenses de personnel </w:t>
      </w:r>
      <w:r w:rsidR="009766E5" w:rsidRPr="007B7FFA">
        <w:rPr>
          <w:b/>
          <w:bCs/>
          <w:sz w:val="20"/>
          <w:szCs w:val="20"/>
          <w:u w:val="single"/>
        </w:rPr>
        <w:t>(chapitre 012)</w:t>
      </w:r>
    </w:p>
    <w:p w14:paraId="2C3C28A1" w14:textId="1AEF828E" w:rsidR="00DE208F" w:rsidRDefault="009766E5" w:rsidP="00DE208F">
      <w:pPr>
        <w:spacing w:after="0" w:line="240" w:lineRule="auto"/>
        <w:jc w:val="both"/>
        <w:rPr>
          <w:sz w:val="20"/>
          <w:szCs w:val="20"/>
        </w:rPr>
      </w:pPr>
      <w:r w:rsidRPr="000274CA">
        <w:rPr>
          <w:sz w:val="20"/>
          <w:szCs w:val="20"/>
        </w:rPr>
        <w:t xml:space="preserve">Ces dépenses s’élèvent à </w:t>
      </w:r>
      <w:r w:rsidR="008A1DF5" w:rsidRPr="000274CA">
        <w:rPr>
          <w:sz w:val="20"/>
          <w:szCs w:val="20"/>
        </w:rPr>
        <w:t>1</w:t>
      </w:r>
      <w:r w:rsidR="008A1DF5">
        <w:rPr>
          <w:sz w:val="20"/>
          <w:szCs w:val="20"/>
        </w:rPr>
        <w:t xml:space="preserve"> 665</w:t>
      </w:r>
      <w:r w:rsidR="008A1DF5" w:rsidRPr="000274CA">
        <w:rPr>
          <w:sz w:val="20"/>
          <w:szCs w:val="20"/>
        </w:rPr>
        <w:t xml:space="preserve"> </w:t>
      </w:r>
      <w:r w:rsidR="008A1DF5">
        <w:rPr>
          <w:sz w:val="20"/>
          <w:szCs w:val="20"/>
        </w:rPr>
        <w:t>068</w:t>
      </w:r>
      <w:r w:rsidR="008A1DF5" w:rsidRPr="000274CA">
        <w:rPr>
          <w:sz w:val="20"/>
          <w:szCs w:val="20"/>
        </w:rPr>
        <w:t>,4</w:t>
      </w:r>
      <w:r w:rsidR="008A1DF5">
        <w:rPr>
          <w:sz w:val="20"/>
          <w:szCs w:val="20"/>
        </w:rPr>
        <w:t>9</w:t>
      </w:r>
      <w:r w:rsidR="008A1DF5" w:rsidRPr="000274CA">
        <w:rPr>
          <w:sz w:val="20"/>
          <w:szCs w:val="20"/>
        </w:rPr>
        <w:t xml:space="preserve"> </w:t>
      </w:r>
      <w:r w:rsidR="008A1DF5" w:rsidRPr="000274CA">
        <w:rPr>
          <w:b/>
          <w:bCs/>
          <w:sz w:val="20"/>
          <w:szCs w:val="20"/>
        </w:rPr>
        <w:t>€</w:t>
      </w:r>
      <w:r w:rsidR="008A1DF5" w:rsidRPr="000274CA">
        <w:rPr>
          <w:sz w:val="20"/>
          <w:szCs w:val="20"/>
        </w:rPr>
        <w:t xml:space="preserve"> pour l’année 202</w:t>
      </w:r>
      <w:r w:rsidR="008A1DF5">
        <w:rPr>
          <w:sz w:val="20"/>
          <w:szCs w:val="20"/>
        </w:rPr>
        <w:t>3</w:t>
      </w:r>
      <w:r w:rsidR="00CD3836" w:rsidRPr="000274CA">
        <w:rPr>
          <w:sz w:val="20"/>
          <w:szCs w:val="20"/>
        </w:rPr>
        <w:t xml:space="preserve">. Elles étaient </w:t>
      </w:r>
      <w:r w:rsidR="008A1DF5" w:rsidRPr="000274CA">
        <w:rPr>
          <w:sz w:val="20"/>
          <w:szCs w:val="20"/>
        </w:rPr>
        <w:t>1</w:t>
      </w:r>
      <w:r w:rsidR="008A1DF5">
        <w:rPr>
          <w:sz w:val="20"/>
          <w:szCs w:val="20"/>
        </w:rPr>
        <w:t xml:space="preserve"> </w:t>
      </w:r>
      <w:r w:rsidR="008A1DF5" w:rsidRPr="000274CA">
        <w:rPr>
          <w:sz w:val="20"/>
          <w:szCs w:val="20"/>
        </w:rPr>
        <w:t xml:space="preserve">582 080,43 </w:t>
      </w:r>
      <w:r w:rsidR="008A1DF5" w:rsidRPr="000274CA">
        <w:rPr>
          <w:b/>
          <w:bCs/>
          <w:sz w:val="20"/>
          <w:szCs w:val="20"/>
        </w:rPr>
        <w:t>€</w:t>
      </w:r>
      <w:r w:rsidR="008A1DF5" w:rsidRPr="000274CA">
        <w:rPr>
          <w:sz w:val="20"/>
          <w:szCs w:val="20"/>
        </w:rPr>
        <w:t xml:space="preserve"> </w:t>
      </w:r>
      <w:r w:rsidR="008A1DF5">
        <w:rPr>
          <w:sz w:val="20"/>
          <w:szCs w:val="20"/>
        </w:rPr>
        <w:t>en</w:t>
      </w:r>
      <w:r w:rsidR="008A1DF5" w:rsidRPr="000274CA">
        <w:rPr>
          <w:sz w:val="20"/>
          <w:szCs w:val="20"/>
        </w:rPr>
        <w:t xml:space="preserve"> 2022</w:t>
      </w:r>
      <w:r w:rsidR="008A1DF5">
        <w:rPr>
          <w:sz w:val="20"/>
          <w:szCs w:val="20"/>
        </w:rPr>
        <w:t xml:space="preserve">, </w:t>
      </w:r>
      <w:r w:rsidR="00CD3836" w:rsidRPr="000274CA">
        <w:rPr>
          <w:sz w:val="20"/>
          <w:szCs w:val="20"/>
        </w:rPr>
        <w:t xml:space="preserve">de </w:t>
      </w:r>
      <w:r w:rsidR="0083332F" w:rsidRPr="000274CA">
        <w:rPr>
          <w:sz w:val="20"/>
          <w:szCs w:val="20"/>
        </w:rPr>
        <w:t xml:space="preserve">1 477 860,60 </w:t>
      </w:r>
      <w:r w:rsidR="00CD3836" w:rsidRPr="000274CA">
        <w:rPr>
          <w:sz w:val="20"/>
          <w:szCs w:val="20"/>
        </w:rPr>
        <w:t>€ en 20</w:t>
      </w:r>
      <w:r w:rsidR="00EB27B3" w:rsidRPr="000274CA">
        <w:rPr>
          <w:sz w:val="20"/>
          <w:szCs w:val="20"/>
        </w:rPr>
        <w:t>2</w:t>
      </w:r>
      <w:r w:rsidR="001306BB" w:rsidRPr="000274CA">
        <w:rPr>
          <w:sz w:val="20"/>
          <w:szCs w:val="20"/>
        </w:rPr>
        <w:t>1</w:t>
      </w:r>
      <w:r w:rsidR="00D07ADB" w:rsidRPr="000274CA">
        <w:rPr>
          <w:sz w:val="20"/>
          <w:szCs w:val="20"/>
        </w:rPr>
        <w:t xml:space="preserve"> et de </w:t>
      </w:r>
      <w:r w:rsidR="008A1DF5">
        <w:rPr>
          <w:sz w:val="20"/>
          <w:szCs w:val="20"/>
        </w:rPr>
        <w:t xml:space="preserve">      </w:t>
      </w:r>
      <w:r w:rsidR="0083332F" w:rsidRPr="000274CA">
        <w:rPr>
          <w:sz w:val="20"/>
          <w:szCs w:val="20"/>
        </w:rPr>
        <w:t>1 437 628,32 €</w:t>
      </w:r>
      <w:r w:rsidR="00D07ADB" w:rsidRPr="000274CA">
        <w:rPr>
          <w:sz w:val="20"/>
          <w:szCs w:val="20"/>
        </w:rPr>
        <w:t xml:space="preserve"> en 20</w:t>
      </w:r>
      <w:r w:rsidR="001306BB" w:rsidRPr="000274CA">
        <w:rPr>
          <w:sz w:val="20"/>
          <w:szCs w:val="20"/>
        </w:rPr>
        <w:t>20</w:t>
      </w:r>
      <w:r w:rsidR="00DE208F">
        <w:rPr>
          <w:sz w:val="20"/>
          <w:szCs w:val="20"/>
        </w:rPr>
        <w:t>.</w:t>
      </w:r>
    </w:p>
    <w:p w14:paraId="133D0363" w14:textId="77777777" w:rsidR="001C4FA6" w:rsidRDefault="001C4FA6" w:rsidP="00DE208F">
      <w:pPr>
        <w:spacing w:after="0" w:line="240" w:lineRule="auto"/>
        <w:jc w:val="both"/>
        <w:rPr>
          <w:sz w:val="20"/>
          <w:szCs w:val="20"/>
        </w:rPr>
      </w:pPr>
    </w:p>
    <w:p w14:paraId="7209A917" w14:textId="371725A8" w:rsidR="00510CEE" w:rsidRPr="007B7FFA" w:rsidRDefault="001C4FA6" w:rsidP="001C4FA6">
      <w:pPr>
        <w:spacing w:after="0" w:line="240" w:lineRule="auto"/>
        <w:ind w:firstLine="284"/>
        <w:jc w:val="both"/>
        <w:rPr>
          <w:b/>
          <w:bCs/>
          <w:sz w:val="20"/>
          <w:szCs w:val="20"/>
          <w:u w:val="single"/>
        </w:rPr>
      </w:pPr>
      <w:r w:rsidRPr="001C4FA6">
        <w:rPr>
          <w:b/>
          <w:bCs/>
          <w:sz w:val="20"/>
          <w:szCs w:val="20"/>
        </w:rPr>
        <w:t>-</w:t>
      </w:r>
      <w:r w:rsidRPr="001C4FA6">
        <w:rPr>
          <w:b/>
          <w:bCs/>
          <w:sz w:val="20"/>
          <w:szCs w:val="20"/>
        </w:rPr>
        <w:tab/>
      </w:r>
      <w:r w:rsidR="00B608FC">
        <w:rPr>
          <w:b/>
          <w:bCs/>
          <w:sz w:val="20"/>
          <w:szCs w:val="20"/>
          <w:u w:val="single"/>
        </w:rPr>
        <w:t xml:space="preserve">3) </w:t>
      </w:r>
      <w:r w:rsidR="00510CEE" w:rsidRPr="007B7FFA">
        <w:rPr>
          <w:b/>
          <w:bCs/>
          <w:sz w:val="20"/>
          <w:szCs w:val="20"/>
          <w:u w:val="single"/>
        </w:rPr>
        <w:t>Les charges de gestion courante (</w:t>
      </w:r>
      <w:r w:rsidR="00A441A2" w:rsidRPr="007B7FFA">
        <w:rPr>
          <w:b/>
          <w:bCs/>
          <w:sz w:val="20"/>
          <w:szCs w:val="20"/>
          <w:u w:val="single"/>
        </w:rPr>
        <w:t xml:space="preserve">chapitre </w:t>
      </w:r>
      <w:r w:rsidR="00510CEE" w:rsidRPr="007B7FFA">
        <w:rPr>
          <w:b/>
          <w:bCs/>
          <w:sz w:val="20"/>
          <w:szCs w:val="20"/>
          <w:u w:val="single"/>
        </w:rPr>
        <w:t>65)</w:t>
      </w:r>
    </w:p>
    <w:p w14:paraId="77A8D5C2" w14:textId="7B4DE8F9" w:rsidR="006514DB" w:rsidRPr="007B7FFA" w:rsidRDefault="00510CEE" w:rsidP="009766E5">
      <w:pPr>
        <w:jc w:val="both"/>
        <w:rPr>
          <w:sz w:val="20"/>
          <w:szCs w:val="20"/>
        </w:rPr>
      </w:pPr>
      <w:r w:rsidRPr="00125B33">
        <w:rPr>
          <w:sz w:val="20"/>
          <w:szCs w:val="20"/>
        </w:rPr>
        <w:t>Ce chapitre regroupe les indemnités des élus, les subventions versées aux associations,</w:t>
      </w:r>
      <w:r w:rsidR="00DE208F">
        <w:rPr>
          <w:sz w:val="20"/>
          <w:szCs w:val="20"/>
        </w:rPr>
        <w:t xml:space="preserve"> la subvention au CCAS,</w:t>
      </w:r>
      <w:r w:rsidRPr="00125B33">
        <w:rPr>
          <w:sz w:val="20"/>
          <w:szCs w:val="20"/>
        </w:rPr>
        <w:t xml:space="preserve"> les frais de contingents incendie et les participations aux organismes extérieurs (</w:t>
      </w:r>
      <w:r w:rsidR="00545D56" w:rsidRPr="00125B33">
        <w:rPr>
          <w:sz w:val="20"/>
          <w:szCs w:val="20"/>
        </w:rPr>
        <w:t>s</w:t>
      </w:r>
      <w:r w:rsidR="00EB27B3" w:rsidRPr="00125B33">
        <w:rPr>
          <w:sz w:val="20"/>
          <w:szCs w:val="20"/>
        </w:rPr>
        <w:t>yndicat</w:t>
      </w:r>
      <w:r w:rsidR="002F6DD7" w:rsidRPr="00125B33">
        <w:rPr>
          <w:sz w:val="20"/>
          <w:szCs w:val="20"/>
        </w:rPr>
        <w:t>s</w:t>
      </w:r>
      <w:r w:rsidR="00EB27B3" w:rsidRPr="00125B33">
        <w:rPr>
          <w:sz w:val="20"/>
          <w:szCs w:val="20"/>
        </w:rPr>
        <w:t xml:space="preserve"> intercommunaux</w:t>
      </w:r>
      <w:r w:rsidRPr="00125B33">
        <w:rPr>
          <w:sz w:val="20"/>
          <w:szCs w:val="20"/>
        </w:rPr>
        <w:t xml:space="preserve">). Ces charges s’élèvent à </w:t>
      </w:r>
      <w:r w:rsidR="00DE208F">
        <w:rPr>
          <w:sz w:val="20"/>
          <w:szCs w:val="20"/>
        </w:rPr>
        <w:t>1</w:t>
      </w:r>
      <w:r w:rsidR="000274CA" w:rsidRPr="00125B33">
        <w:rPr>
          <w:sz w:val="20"/>
          <w:szCs w:val="20"/>
        </w:rPr>
        <w:t>3</w:t>
      </w:r>
      <w:r w:rsidR="00DE208F">
        <w:rPr>
          <w:sz w:val="20"/>
          <w:szCs w:val="20"/>
        </w:rPr>
        <w:t>9</w:t>
      </w:r>
      <w:r w:rsidR="000274CA" w:rsidRPr="00125B33">
        <w:rPr>
          <w:sz w:val="20"/>
          <w:szCs w:val="20"/>
        </w:rPr>
        <w:t xml:space="preserve"> </w:t>
      </w:r>
      <w:r w:rsidR="00DE208F">
        <w:rPr>
          <w:sz w:val="20"/>
          <w:szCs w:val="20"/>
        </w:rPr>
        <w:t>276</w:t>
      </w:r>
      <w:r w:rsidR="000274CA" w:rsidRPr="00125B33">
        <w:rPr>
          <w:sz w:val="20"/>
          <w:szCs w:val="20"/>
        </w:rPr>
        <w:t>,</w:t>
      </w:r>
      <w:r w:rsidR="00DE208F">
        <w:rPr>
          <w:sz w:val="20"/>
          <w:szCs w:val="20"/>
        </w:rPr>
        <w:t>62</w:t>
      </w:r>
      <w:r w:rsidR="00EB27B3" w:rsidRPr="00125B33">
        <w:rPr>
          <w:sz w:val="20"/>
          <w:szCs w:val="20"/>
        </w:rPr>
        <w:t xml:space="preserve"> </w:t>
      </w:r>
      <w:r w:rsidRPr="00125B33">
        <w:rPr>
          <w:sz w:val="20"/>
          <w:szCs w:val="20"/>
        </w:rPr>
        <w:t>€.</w:t>
      </w:r>
    </w:p>
    <w:p w14:paraId="231D5DCD" w14:textId="633B557A" w:rsidR="00510CEE" w:rsidRDefault="00D07ADB" w:rsidP="007B7FFA">
      <w:pPr>
        <w:spacing w:after="0" w:line="240" w:lineRule="auto"/>
        <w:jc w:val="both"/>
        <w:rPr>
          <w:i/>
          <w:iCs/>
          <w:color w:val="7030A0"/>
          <w:sz w:val="20"/>
          <w:szCs w:val="20"/>
        </w:rPr>
      </w:pPr>
      <w:r>
        <w:rPr>
          <w:sz w:val="20"/>
          <w:szCs w:val="20"/>
        </w:rPr>
        <w:t>En 202</w:t>
      </w:r>
      <w:r w:rsidR="00DE208F">
        <w:rPr>
          <w:sz w:val="20"/>
          <w:szCs w:val="20"/>
        </w:rPr>
        <w:t>3</w:t>
      </w:r>
      <w:r>
        <w:rPr>
          <w:sz w:val="20"/>
          <w:szCs w:val="20"/>
        </w:rPr>
        <w:t>, l</w:t>
      </w:r>
      <w:r w:rsidR="00510CEE" w:rsidRPr="009164EB">
        <w:rPr>
          <w:sz w:val="20"/>
          <w:szCs w:val="20"/>
        </w:rPr>
        <w:t xml:space="preserve">es subventions aux associations </w:t>
      </w:r>
      <w:r w:rsidR="009164EB">
        <w:rPr>
          <w:sz w:val="20"/>
          <w:szCs w:val="20"/>
        </w:rPr>
        <w:t xml:space="preserve">(6574) </w:t>
      </w:r>
      <w:r w:rsidR="00C554AA" w:rsidRPr="009164EB">
        <w:rPr>
          <w:sz w:val="20"/>
          <w:szCs w:val="20"/>
        </w:rPr>
        <w:t xml:space="preserve">ont été attribuées pour </w:t>
      </w:r>
      <w:r w:rsidR="00510CEE" w:rsidRPr="009164EB">
        <w:rPr>
          <w:sz w:val="20"/>
          <w:szCs w:val="20"/>
        </w:rPr>
        <w:t xml:space="preserve">un montant </w:t>
      </w:r>
      <w:r w:rsidR="00510CEE" w:rsidRPr="000274CA">
        <w:rPr>
          <w:sz w:val="20"/>
          <w:szCs w:val="20"/>
        </w:rPr>
        <w:t>de</w:t>
      </w:r>
      <w:r w:rsidR="00EB27B3" w:rsidRPr="000274CA">
        <w:rPr>
          <w:sz w:val="20"/>
          <w:szCs w:val="20"/>
        </w:rPr>
        <w:t xml:space="preserve"> </w:t>
      </w:r>
      <w:r w:rsidR="000274CA" w:rsidRPr="000274CA">
        <w:rPr>
          <w:sz w:val="20"/>
          <w:szCs w:val="20"/>
        </w:rPr>
        <w:t xml:space="preserve">31 </w:t>
      </w:r>
      <w:r w:rsidR="00DE208F">
        <w:rPr>
          <w:sz w:val="20"/>
          <w:szCs w:val="20"/>
        </w:rPr>
        <w:t>912</w:t>
      </w:r>
      <w:r w:rsidR="000274CA" w:rsidRPr="000274CA">
        <w:rPr>
          <w:sz w:val="20"/>
          <w:szCs w:val="20"/>
        </w:rPr>
        <w:t xml:space="preserve"> </w:t>
      </w:r>
      <w:r w:rsidR="00510CEE" w:rsidRPr="000274CA">
        <w:rPr>
          <w:sz w:val="20"/>
          <w:szCs w:val="20"/>
        </w:rPr>
        <w:t>€</w:t>
      </w:r>
      <w:r w:rsidR="000274CA" w:rsidRPr="000274CA">
        <w:rPr>
          <w:sz w:val="20"/>
          <w:szCs w:val="20"/>
        </w:rPr>
        <w:t>.</w:t>
      </w:r>
      <w:r w:rsidR="009164EB" w:rsidRPr="000274CA">
        <w:rPr>
          <w:sz w:val="20"/>
          <w:szCs w:val="20"/>
        </w:rPr>
        <w:t xml:space="preserve"> </w:t>
      </w:r>
    </w:p>
    <w:p w14:paraId="75C9B076" w14:textId="77777777" w:rsidR="001306BB" w:rsidRPr="009164EB" w:rsidRDefault="001306BB" w:rsidP="007B7FFA">
      <w:pPr>
        <w:spacing w:after="0" w:line="240" w:lineRule="auto"/>
        <w:jc w:val="both"/>
        <w:rPr>
          <w:sz w:val="20"/>
          <w:szCs w:val="20"/>
        </w:rPr>
      </w:pPr>
    </w:p>
    <w:p w14:paraId="6440DF49" w14:textId="77777777" w:rsidR="00A441A2" w:rsidRPr="007B7FFA" w:rsidRDefault="00B608FC" w:rsidP="007B7FFA">
      <w:pPr>
        <w:pStyle w:val="Paragraphedeliste"/>
        <w:numPr>
          <w:ilvl w:val="0"/>
          <w:numId w:val="1"/>
        </w:numPr>
        <w:spacing w:after="0" w:line="240" w:lineRule="auto"/>
        <w:jc w:val="both"/>
        <w:rPr>
          <w:b/>
          <w:bCs/>
          <w:sz w:val="20"/>
          <w:szCs w:val="20"/>
          <w:u w:val="single"/>
        </w:rPr>
      </w:pPr>
      <w:r>
        <w:rPr>
          <w:b/>
          <w:bCs/>
          <w:sz w:val="20"/>
          <w:szCs w:val="20"/>
          <w:u w:val="single"/>
        </w:rPr>
        <w:t xml:space="preserve">4) </w:t>
      </w:r>
      <w:r w:rsidR="00A441A2" w:rsidRPr="007B7FFA">
        <w:rPr>
          <w:b/>
          <w:bCs/>
          <w:sz w:val="20"/>
          <w:szCs w:val="20"/>
          <w:u w:val="single"/>
        </w:rPr>
        <w:t>Les charges financières (chapitre 66)</w:t>
      </w:r>
    </w:p>
    <w:p w14:paraId="27C2E4D0" w14:textId="15CCE46C" w:rsidR="00510CEE" w:rsidRDefault="007025A6" w:rsidP="007B7FFA">
      <w:pPr>
        <w:spacing w:after="0" w:line="240" w:lineRule="auto"/>
        <w:jc w:val="both"/>
        <w:rPr>
          <w:sz w:val="20"/>
          <w:szCs w:val="20"/>
        </w:rPr>
      </w:pPr>
      <w:r w:rsidRPr="007B7FFA">
        <w:rPr>
          <w:sz w:val="20"/>
          <w:szCs w:val="20"/>
        </w:rPr>
        <w:t xml:space="preserve">Ces charges concernent </w:t>
      </w:r>
      <w:r w:rsidR="009379C7">
        <w:rPr>
          <w:sz w:val="20"/>
          <w:szCs w:val="20"/>
        </w:rPr>
        <w:t xml:space="preserve">notamment </w:t>
      </w:r>
      <w:r w:rsidRPr="007B7FFA">
        <w:rPr>
          <w:sz w:val="20"/>
          <w:szCs w:val="20"/>
        </w:rPr>
        <w:t xml:space="preserve">les intérêts des emprunts pour un </w:t>
      </w:r>
      <w:r w:rsidRPr="004A1A27">
        <w:rPr>
          <w:sz w:val="20"/>
          <w:szCs w:val="20"/>
        </w:rPr>
        <w:t xml:space="preserve">montant de </w:t>
      </w:r>
      <w:r w:rsidR="002D7A50">
        <w:rPr>
          <w:rFonts w:eastAsia="Times New Roman" w:cs="Times New Roman"/>
          <w:color w:val="000000"/>
          <w:sz w:val="20"/>
          <w:szCs w:val="20"/>
          <w:lang w:eastAsia="fr-FR"/>
        </w:rPr>
        <w:t>5</w:t>
      </w:r>
      <w:r w:rsidR="0063311A">
        <w:rPr>
          <w:rFonts w:eastAsia="Times New Roman" w:cs="Times New Roman"/>
          <w:color w:val="000000"/>
          <w:sz w:val="20"/>
          <w:szCs w:val="20"/>
          <w:lang w:eastAsia="fr-FR"/>
        </w:rPr>
        <w:t>5</w:t>
      </w:r>
      <w:r w:rsidR="002D7A50">
        <w:rPr>
          <w:rFonts w:eastAsia="Times New Roman" w:cs="Times New Roman"/>
          <w:color w:val="000000"/>
          <w:sz w:val="20"/>
          <w:szCs w:val="20"/>
          <w:lang w:eastAsia="fr-FR"/>
        </w:rPr>
        <w:t xml:space="preserve"> </w:t>
      </w:r>
      <w:r w:rsidR="0002568C">
        <w:rPr>
          <w:rFonts w:eastAsia="Times New Roman" w:cs="Times New Roman"/>
          <w:color w:val="000000"/>
          <w:sz w:val="20"/>
          <w:szCs w:val="20"/>
          <w:lang w:eastAsia="fr-FR"/>
        </w:rPr>
        <w:t>465</w:t>
      </w:r>
      <w:r w:rsidR="002D7A50">
        <w:rPr>
          <w:rFonts w:eastAsia="Times New Roman" w:cs="Times New Roman"/>
          <w:color w:val="000000"/>
          <w:sz w:val="20"/>
          <w:szCs w:val="20"/>
          <w:lang w:eastAsia="fr-FR"/>
        </w:rPr>
        <w:t>,</w:t>
      </w:r>
      <w:r w:rsidR="0002568C">
        <w:rPr>
          <w:rFonts w:eastAsia="Times New Roman" w:cs="Times New Roman"/>
          <w:color w:val="000000"/>
          <w:sz w:val="20"/>
          <w:szCs w:val="20"/>
          <w:lang w:eastAsia="fr-FR"/>
        </w:rPr>
        <w:t>67</w:t>
      </w:r>
      <w:r w:rsidR="002D7A50">
        <w:rPr>
          <w:rFonts w:eastAsia="Times New Roman" w:cs="Times New Roman"/>
          <w:color w:val="000000"/>
          <w:sz w:val="20"/>
          <w:szCs w:val="20"/>
          <w:lang w:eastAsia="fr-FR"/>
        </w:rPr>
        <w:t xml:space="preserve"> €.</w:t>
      </w:r>
    </w:p>
    <w:p w14:paraId="7AD0CB9D" w14:textId="77777777" w:rsidR="007B7FFA" w:rsidRDefault="007B7FFA" w:rsidP="00B608FC">
      <w:pPr>
        <w:pStyle w:val="Paragraphedeliste"/>
        <w:jc w:val="both"/>
        <w:rPr>
          <w:b/>
          <w:bCs/>
          <w:sz w:val="20"/>
          <w:szCs w:val="20"/>
          <w:u w:val="single"/>
        </w:rPr>
      </w:pPr>
    </w:p>
    <w:p w14:paraId="37202DE3" w14:textId="77777777" w:rsidR="007025A6" w:rsidRPr="007B7FFA" w:rsidRDefault="00B608FC" w:rsidP="007025A6">
      <w:pPr>
        <w:pStyle w:val="Paragraphedeliste"/>
        <w:numPr>
          <w:ilvl w:val="0"/>
          <w:numId w:val="1"/>
        </w:numPr>
        <w:jc w:val="both"/>
        <w:rPr>
          <w:b/>
          <w:bCs/>
          <w:sz w:val="20"/>
          <w:szCs w:val="20"/>
          <w:u w:val="single"/>
        </w:rPr>
      </w:pPr>
      <w:r>
        <w:rPr>
          <w:b/>
          <w:bCs/>
          <w:sz w:val="20"/>
          <w:szCs w:val="20"/>
          <w:u w:val="single"/>
        </w:rPr>
        <w:t xml:space="preserve">5) </w:t>
      </w:r>
      <w:r w:rsidR="007025A6" w:rsidRPr="007B7FFA">
        <w:rPr>
          <w:b/>
          <w:bCs/>
          <w:sz w:val="20"/>
          <w:szCs w:val="20"/>
          <w:u w:val="single"/>
        </w:rPr>
        <w:t>Les charges exceptionnelles (chapitre 67)</w:t>
      </w:r>
    </w:p>
    <w:p w14:paraId="688D2E03" w14:textId="0DE4A765" w:rsidR="00510CEE" w:rsidRPr="007B7FFA" w:rsidRDefault="007025A6" w:rsidP="009766E5">
      <w:pPr>
        <w:jc w:val="both"/>
        <w:rPr>
          <w:sz w:val="20"/>
          <w:szCs w:val="20"/>
        </w:rPr>
      </w:pPr>
      <w:r w:rsidRPr="007B7FFA">
        <w:rPr>
          <w:sz w:val="20"/>
          <w:szCs w:val="20"/>
        </w:rPr>
        <w:t xml:space="preserve">Elles concernent </w:t>
      </w:r>
      <w:r w:rsidR="002D5543">
        <w:rPr>
          <w:sz w:val="20"/>
          <w:szCs w:val="20"/>
        </w:rPr>
        <w:t>entre autres</w:t>
      </w:r>
      <w:r w:rsidR="004A1A27">
        <w:rPr>
          <w:sz w:val="20"/>
          <w:szCs w:val="20"/>
        </w:rPr>
        <w:t xml:space="preserve"> les bourses versées aux étudiants et l</w:t>
      </w:r>
      <w:r w:rsidR="00140A55">
        <w:rPr>
          <w:sz w:val="20"/>
          <w:szCs w:val="20"/>
        </w:rPr>
        <w:t>'aide</w:t>
      </w:r>
      <w:r w:rsidR="004A1A27">
        <w:rPr>
          <w:sz w:val="20"/>
          <w:szCs w:val="20"/>
        </w:rPr>
        <w:t xml:space="preserve"> au </w:t>
      </w:r>
      <w:r w:rsidR="00140A55">
        <w:rPr>
          <w:sz w:val="20"/>
          <w:szCs w:val="20"/>
        </w:rPr>
        <w:t>Maroc</w:t>
      </w:r>
      <w:r w:rsidR="00EB27B3" w:rsidRPr="00EB27B3">
        <w:rPr>
          <w:color w:val="7030A0"/>
          <w:sz w:val="20"/>
          <w:szCs w:val="20"/>
        </w:rPr>
        <w:t xml:space="preserve"> </w:t>
      </w:r>
      <w:r w:rsidR="00D07ADB">
        <w:rPr>
          <w:sz w:val="20"/>
          <w:szCs w:val="20"/>
        </w:rPr>
        <w:t xml:space="preserve">pour un montant </w:t>
      </w:r>
      <w:r w:rsidR="00140A55">
        <w:rPr>
          <w:sz w:val="20"/>
          <w:szCs w:val="20"/>
        </w:rPr>
        <w:t xml:space="preserve">total </w:t>
      </w:r>
      <w:r w:rsidR="00D07ADB">
        <w:rPr>
          <w:sz w:val="20"/>
          <w:szCs w:val="20"/>
        </w:rPr>
        <w:t>de</w:t>
      </w:r>
      <w:r w:rsidR="0063311A" w:rsidRPr="0063311A">
        <w:rPr>
          <w:sz w:val="20"/>
          <w:szCs w:val="20"/>
        </w:rPr>
        <w:t xml:space="preserve"> 4 427,30</w:t>
      </w:r>
      <w:r w:rsidR="00EB27B3" w:rsidRPr="0063311A">
        <w:rPr>
          <w:sz w:val="20"/>
          <w:szCs w:val="20"/>
        </w:rPr>
        <w:t xml:space="preserve"> </w:t>
      </w:r>
      <w:r w:rsidR="00D07ADB" w:rsidRPr="0063311A">
        <w:rPr>
          <w:sz w:val="20"/>
          <w:szCs w:val="20"/>
        </w:rPr>
        <w:t>€</w:t>
      </w:r>
      <w:r w:rsidRPr="0063311A">
        <w:rPr>
          <w:sz w:val="20"/>
          <w:szCs w:val="20"/>
        </w:rPr>
        <w:t>.</w:t>
      </w:r>
    </w:p>
    <w:p w14:paraId="0B2B0D0C" w14:textId="77777777" w:rsidR="007025A6" w:rsidRPr="007B7FFA" w:rsidRDefault="007025A6" w:rsidP="0081365E">
      <w:pPr>
        <w:jc w:val="center"/>
        <w:rPr>
          <w:b/>
          <w:bCs/>
          <w:sz w:val="20"/>
          <w:szCs w:val="20"/>
        </w:rPr>
      </w:pPr>
      <w:r w:rsidRPr="007B7FFA">
        <w:rPr>
          <w:b/>
          <w:bCs/>
          <w:sz w:val="20"/>
          <w:szCs w:val="20"/>
        </w:rPr>
        <w:t>Récapitulatif des dépenses de fonctionnement</w:t>
      </w:r>
    </w:p>
    <w:tbl>
      <w:tblPr>
        <w:tblW w:w="9346" w:type="dxa"/>
        <w:jc w:val="center"/>
        <w:tblCellMar>
          <w:left w:w="70" w:type="dxa"/>
          <w:right w:w="70" w:type="dxa"/>
        </w:tblCellMar>
        <w:tblLook w:val="04A0" w:firstRow="1" w:lastRow="0" w:firstColumn="1" w:lastColumn="0" w:noHBand="0" w:noVBand="1"/>
      </w:tblPr>
      <w:tblGrid>
        <w:gridCol w:w="1200"/>
        <w:gridCol w:w="3043"/>
        <w:gridCol w:w="1701"/>
        <w:gridCol w:w="1701"/>
        <w:gridCol w:w="1701"/>
      </w:tblGrid>
      <w:tr w:rsidR="00BD7C74" w:rsidRPr="007B7FFA" w14:paraId="112FE155" w14:textId="77777777" w:rsidTr="00D03A58">
        <w:trPr>
          <w:trHeight w:val="567"/>
          <w:jc w:val="center"/>
        </w:trPr>
        <w:tc>
          <w:tcPr>
            <w:tcW w:w="1200" w:type="dxa"/>
            <w:tcBorders>
              <w:top w:val="single" w:sz="8" w:space="0" w:color="auto"/>
              <w:left w:val="single" w:sz="8" w:space="0" w:color="auto"/>
              <w:bottom w:val="single" w:sz="8" w:space="0" w:color="auto"/>
              <w:right w:val="single" w:sz="8" w:space="0" w:color="auto"/>
            </w:tcBorders>
            <w:shd w:val="clear" w:color="000000" w:fill="D9D9D9" w:themeFill="background1" w:themeFillShade="D9"/>
            <w:vAlign w:val="center"/>
            <w:hideMark/>
          </w:tcPr>
          <w:p w14:paraId="0DA044AD" w14:textId="77777777" w:rsidR="00BD7C74" w:rsidRPr="007B7FFA" w:rsidRDefault="00BD7C74" w:rsidP="00BD7C74">
            <w:pPr>
              <w:spacing w:after="0" w:line="240" w:lineRule="auto"/>
              <w:jc w:val="center"/>
              <w:rPr>
                <w:rFonts w:eastAsia="Times New Roman" w:cs="Times New Roman"/>
                <w:color w:val="000000"/>
                <w:sz w:val="20"/>
                <w:szCs w:val="20"/>
                <w:lang w:eastAsia="fr-FR"/>
              </w:rPr>
            </w:pPr>
            <w:r w:rsidRPr="007B7FFA">
              <w:rPr>
                <w:rFonts w:eastAsia="Times New Roman" w:cs="Times New Roman"/>
                <w:color w:val="000000"/>
                <w:sz w:val="20"/>
                <w:szCs w:val="20"/>
                <w:lang w:eastAsia="fr-FR"/>
              </w:rPr>
              <w:t>Chapitres</w:t>
            </w:r>
          </w:p>
        </w:tc>
        <w:tc>
          <w:tcPr>
            <w:tcW w:w="3043" w:type="dxa"/>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587766FB" w14:textId="77777777" w:rsidR="00BD7C74" w:rsidRPr="007B7FFA" w:rsidRDefault="00BD7C74" w:rsidP="00BD7C74">
            <w:pPr>
              <w:spacing w:after="0" w:line="240" w:lineRule="auto"/>
              <w:jc w:val="center"/>
              <w:rPr>
                <w:rFonts w:eastAsia="Times New Roman" w:cs="Times New Roman"/>
                <w:color w:val="000000"/>
                <w:sz w:val="20"/>
                <w:szCs w:val="20"/>
                <w:lang w:eastAsia="fr-FR"/>
              </w:rPr>
            </w:pPr>
            <w:r w:rsidRPr="007B7FFA">
              <w:rPr>
                <w:rFonts w:eastAsia="Times New Roman" w:cs="Times New Roman"/>
                <w:sz w:val="20"/>
                <w:szCs w:val="20"/>
                <w:lang w:eastAsia="fr-FR"/>
              </w:rPr>
              <w:t>Intitulés</w:t>
            </w:r>
          </w:p>
        </w:tc>
        <w:tc>
          <w:tcPr>
            <w:tcW w:w="1701" w:type="dxa"/>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77B6859E" w14:textId="36CDE37A" w:rsidR="00BD7C74" w:rsidRPr="007B7FFA" w:rsidRDefault="00BD7C74" w:rsidP="00BD7C74">
            <w:pPr>
              <w:spacing w:after="0" w:line="240" w:lineRule="auto"/>
              <w:jc w:val="center"/>
              <w:rPr>
                <w:rFonts w:eastAsia="Times New Roman" w:cs="Times New Roman"/>
                <w:color w:val="000000"/>
                <w:sz w:val="20"/>
                <w:szCs w:val="20"/>
                <w:lang w:eastAsia="fr-FR"/>
              </w:rPr>
            </w:pPr>
            <w:r w:rsidRPr="007B7FFA">
              <w:rPr>
                <w:rFonts w:eastAsia="Times New Roman" w:cs="Times New Roman"/>
                <w:sz w:val="20"/>
                <w:szCs w:val="20"/>
                <w:lang w:eastAsia="fr-FR"/>
              </w:rPr>
              <w:t>CA 202</w:t>
            </w:r>
            <w:r>
              <w:rPr>
                <w:rFonts w:eastAsia="Times New Roman" w:cs="Times New Roman"/>
                <w:sz w:val="20"/>
                <w:szCs w:val="20"/>
                <w:lang w:eastAsia="fr-FR"/>
              </w:rPr>
              <w:t>2</w:t>
            </w:r>
          </w:p>
        </w:tc>
        <w:tc>
          <w:tcPr>
            <w:tcW w:w="1701" w:type="dxa"/>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303107D1" w14:textId="65B7DAEA" w:rsidR="00BD7C74" w:rsidRPr="007B7FFA" w:rsidRDefault="00BD7C74" w:rsidP="00BD7C74">
            <w:pPr>
              <w:spacing w:after="0" w:line="240" w:lineRule="auto"/>
              <w:jc w:val="center"/>
              <w:rPr>
                <w:rFonts w:eastAsia="Times New Roman" w:cs="Times New Roman"/>
                <w:color w:val="000000"/>
                <w:sz w:val="20"/>
                <w:szCs w:val="20"/>
                <w:lang w:eastAsia="fr-FR"/>
              </w:rPr>
            </w:pPr>
            <w:r w:rsidRPr="007B7FFA">
              <w:rPr>
                <w:rFonts w:eastAsia="Times New Roman" w:cs="Times New Roman"/>
                <w:sz w:val="20"/>
                <w:szCs w:val="20"/>
                <w:lang w:eastAsia="fr-FR"/>
              </w:rPr>
              <w:t>CA 202</w:t>
            </w:r>
            <w:r>
              <w:rPr>
                <w:rFonts w:eastAsia="Times New Roman" w:cs="Times New Roman"/>
                <w:sz w:val="20"/>
                <w:szCs w:val="20"/>
                <w:lang w:eastAsia="fr-FR"/>
              </w:rPr>
              <w:t>3</w:t>
            </w:r>
          </w:p>
        </w:tc>
        <w:tc>
          <w:tcPr>
            <w:tcW w:w="1701" w:type="dxa"/>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6405BBDC" w14:textId="77777777" w:rsidR="00BD7C74" w:rsidRPr="007B7FFA" w:rsidRDefault="00BD7C74" w:rsidP="00BD7C74">
            <w:pPr>
              <w:spacing w:after="0" w:line="240" w:lineRule="auto"/>
              <w:jc w:val="center"/>
              <w:rPr>
                <w:rFonts w:eastAsia="Times New Roman" w:cs="Times New Roman"/>
                <w:sz w:val="20"/>
                <w:szCs w:val="20"/>
                <w:lang w:eastAsia="fr-FR"/>
              </w:rPr>
            </w:pPr>
            <w:r w:rsidRPr="007B7FFA">
              <w:rPr>
                <w:rFonts w:eastAsia="Times New Roman" w:cs="Times New Roman"/>
                <w:sz w:val="20"/>
                <w:szCs w:val="20"/>
                <w:lang w:eastAsia="fr-FR"/>
              </w:rPr>
              <w:t xml:space="preserve">Variation </w:t>
            </w:r>
          </w:p>
          <w:p w14:paraId="4B04C615" w14:textId="77777777" w:rsidR="00BD7C74" w:rsidRPr="007B7FFA" w:rsidRDefault="00BD7C74" w:rsidP="00BD7C74">
            <w:pPr>
              <w:spacing w:after="0" w:line="240" w:lineRule="auto"/>
              <w:jc w:val="center"/>
              <w:rPr>
                <w:rFonts w:eastAsia="Times New Roman" w:cs="Times New Roman"/>
                <w:color w:val="000000"/>
                <w:sz w:val="20"/>
                <w:szCs w:val="20"/>
                <w:lang w:eastAsia="fr-FR"/>
              </w:rPr>
            </w:pPr>
          </w:p>
        </w:tc>
      </w:tr>
      <w:tr w:rsidR="00BD7C74" w:rsidRPr="007B7FFA" w14:paraId="583BDA09" w14:textId="77777777" w:rsidTr="00A262EF">
        <w:trPr>
          <w:trHeight w:val="51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4E43B37" w14:textId="77777777" w:rsidR="00BD7C74" w:rsidRPr="007B7FFA" w:rsidRDefault="00BD7C74" w:rsidP="00BD7C74">
            <w:pPr>
              <w:spacing w:after="0" w:line="240" w:lineRule="auto"/>
              <w:jc w:val="center"/>
              <w:rPr>
                <w:rFonts w:eastAsia="Times New Roman" w:cs="Times New Roman"/>
                <w:color w:val="000000"/>
                <w:sz w:val="20"/>
                <w:szCs w:val="20"/>
                <w:lang w:eastAsia="fr-FR"/>
              </w:rPr>
            </w:pPr>
            <w:r w:rsidRPr="007B7FFA">
              <w:rPr>
                <w:rFonts w:eastAsia="Times New Roman" w:cs="Times New Roman"/>
                <w:color w:val="000000"/>
                <w:sz w:val="20"/>
                <w:szCs w:val="20"/>
                <w:lang w:eastAsia="fr-FR"/>
              </w:rPr>
              <w:t>011</w:t>
            </w:r>
          </w:p>
        </w:tc>
        <w:tc>
          <w:tcPr>
            <w:tcW w:w="3043" w:type="dxa"/>
            <w:tcBorders>
              <w:top w:val="nil"/>
              <w:left w:val="nil"/>
              <w:bottom w:val="single" w:sz="8" w:space="0" w:color="auto"/>
              <w:right w:val="single" w:sz="8" w:space="0" w:color="auto"/>
            </w:tcBorders>
            <w:shd w:val="clear" w:color="auto" w:fill="auto"/>
            <w:vAlign w:val="center"/>
            <w:hideMark/>
          </w:tcPr>
          <w:p w14:paraId="72C095CD" w14:textId="77777777" w:rsidR="00BD7C74" w:rsidRPr="007B7FFA" w:rsidRDefault="00BD7C74" w:rsidP="00BD7C74">
            <w:pPr>
              <w:spacing w:after="0" w:line="240" w:lineRule="auto"/>
              <w:jc w:val="center"/>
              <w:rPr>
                <w:rFonts w:eastAsia="Times New Roman" w:cs="Times New Roman"/>
                <w:color w:val="000000"/>
                <w:sz w:val="20"/>
                <w:szCs w:val="20"/>
                <w:lang w:eastAsia="fr-FR"/>
              </w:rPr>
            </w:pPr>
            <w:r w:rsidRPr="007B7FFA">
              <w:rPr>
                <w:rFonts w:eastAsia="Times New Roman" w:cs="Times New Roman"/>
                <w:color w:val="000000"/>
                <w:sz w:val="20"/>
                <w:szCs w:val="20"/>
                <w:lang w:eastAsia="fr-FR"/>
              </w:rPr>
              <w:t>Charges à caractère général</w:t>
            </w:r>
          </w:p>
        </w:tc>
        <w:tc>
          <w:tcPr>
            <w:tcW w:w="1701" w:type="dxa"/>
            <w:tcBorders>
              <w:top w:val="nil"/>
              <w:left w:val="nil"/>
              <w:bottom w:val="single" w:sz="8" w:space="0" w:color="auto"/>
              <w:right w:val="single" w:sz="8" w:space="0" w:color="auto"/>
            </w:tcBorders>
            <w:shd w:val="clear" w:color="auto" w:fill="auto"/>
            <w:vAlign w:val="center"/>
          </w:tcPr>
          <w:p w14:paraId="613FDE2B" w14:textId="7681F009" w:rsidR="00BD7C74" w:rsidRPr="007B7FFA" w:rsidRDefault="00BD7C74" w:rsidP="00BD7C74">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556 928,09 €</w:t>
            </w:r>
          </w:p>
        </w:tc>
        <w:tc>
          <w:tcPr>
            <w:tcW w:w="1701" w:type="dxa"/>
            <w:tcBorders>
              <w:top w:val="nil"/>
              <w:left w:val="nil"/>
              <w:bottom w:val="single" w:sz="8" w:space="0" w:color="auto"/>
              <w:right w:val="single" w:sz="8" w:space="0" w:color="auto"/>
            </w:tcBorders>
            <w:shd w:val="clear" w:color="auto" w:fill="auto"/>
            <w:vAlign w:val="center"/>
          </w:tcPr>
          <w:p w14:paraId="6A3B0BD5" w14:textId="30C38006" w:rsidR="00BD7C74" w:rsidRPr="007B7FFA" w:rsidRDefault="00BD7C74" w:rsidP="00BD7C74">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633 950,29 €</w:t>
            </w:r>
          </w:p>
        </w:tc>
        <w:tc>
          <w:tcPr>
            <w:tcW w:w="1701" w:type="dxa"/>
            <w:tcBorders>
              <w:top w:val="nil"/>
              <w:left w:val="nil"/>
              <w:bottom w:val="single" w:sz="8" w:space="0" w:color="auto"/>
              <w:right w:val="single" w:sz="8" w:space="0" w:color="auto"/>
            </w:tcBorders>
            <w:shd w:val="clear" w:color="auto" w:fill="auto"/>
            <w:vAlign w:val="center"/>
          </w:tcPr>
          <w:p w14:paraId="7641E003" w14:textId="50B2B0DF" w:rsidR="00BD7C74" w:rsidRPr="007B7FFA" w:rsidRDefault="003452E9" w:rsidP="00BD7C74">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13</w:t>
            </w:r>
            <w:r w:rsidR="00BD7C74" w:rsidRPr="00F9477C">
              <w:rPr>
                <w:rFonts w:eastAsia="Times New Roman" w:cs="Times New Roman"/>
                <w:color w:val="000000"/>
                <w:sz w:val="20"/>
                <w:szCs w:val="20"/>
                <w:lang w:eastAsia="fr-FR"/>
              </w:rPr>
              <w:t>,</w:t>
            </w:r>
            <w:r>
              <w:rPr>
                <w:rFonts w:eastAsia="Times New Roman" w:cs="Times New Roman"/>
                <w:color w:val="000000"/>
                <w:sz w:val="20"/>
                <w:szCs w:val="20"/>
                <w:lang w:eastAsia="fr-FR"/>
              </w:rPr>
              <w:t>83</w:t>
            </w:r>
            <w:r w:rsidR="00BD7C74" w:rsidRPr="00F9477C">
              <w:rPr>
                <w:rFonts w:eastAsia="Times New Roman" w:cs="Times New Roman"/>
                <w:color w:val="000000"/>
                <w:sz w:val="20"/>
                <w:szCs w:val="20"/>
                <w:lang w:eastAsia="fr-FR"/>
              </w:rPr>
              <w:t xml:space="preserve"> %</w:t>
            </w:r>
          </w:p>
        </w:tc>
      </w:tr>
      <w:tr w:rsidR="00BD7C74" w:rsidRPr="007B7FFA" w14:paraId="7D006B60" w14:textId="77777777" w:rsidTr="00A262EF">
        <w:trPr>
          <w:trHeight w:val="51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B286A5B" w14:textId="77777777" w:rsidR="00BD7C74" w:rsidRPr="007B7FFA" w:rsidRDefault="00BD7C74" w:rsidP="00BD7C74">
            <w:pPr>
              <w:spacing w:after="0" w:line="240" w:lineRule="auto"/>
              <w:jc w:val="center"/>
              <w:rPr>
                <w:rFonts w:eastAsia="Times New Roman" w:cs="Times New Roman"/>
                <w:color w:val="000000"/>
                <w:sz w:val="20"/>
                <w:szCs w:val="20"/>
                <w:lang w:eastAsia="fr-FR"/>
              </w:rPr>
            </w:pPr>
            <w:r w:rsidRPr="007B7FFA">
              <w:rPr>
                <w:rFonts w:eastAsia="Times New Roman" w:cs="Times New Roman"/>
                <w:color w:val="000000"/>
                <w:sz w:val="20"/>
                <w:szCs w:val="20"/>
                <w:lang w:eastAsia="fr-FR"/>
              </w:rPr>
              <w:t>012</w:t>
            </w:r>
          </w:p>
        </w:tc>
        <w:tc>
          <w:tcPr>
            <w:tcW w:w="3043" w:type="dxa"/>
            <w:tcBorders>
              <w:top w:val="nil"/>
              <w:left w:val="nil"/>
              <w:bottom w:val="single" w:sz="8" w:space="0" w:color="auto"/>
              <w:right w:val="single" w:sz="8" w:space="0" w:color="auto"/>
            </w:tcBorders>
            <w:shd w:val="clear" w:color="auto" w:fill="auto"/>
            <w:vAlign w:val="center"/>
            <w:hideMark/>
          </w:tcPr>
          <w:p w14:paraId="2884EBCB" w14:textId="77777777" w:rsidR="00BD7C74" w:rsidRPr="007B7FFA" w:rsidRDefault="00BD7C74" w:rsidP="00BD7C74">
            <w:pPr>
              <w:spacing w:after="0" w:line="240" w:lineRule="auto"/>
              <w:jc w:val="center"/>
              <w:rPr>
                <w:rFonts w:eastAsia="Times New Roman" w:cs="Times New Roman"/>
                <w:color w:val="000000"/>
                <w:sz w:val="20"/>
                <w:szCs w:val="20"/>
                <w:lang w:eastAsia="fr-FR"/>
              </w:rPr>
            </w:pPr>
            <w:r w:rsidRPr="007B7FFA">
              <w:rPr>
                <w:rFonts w:eastAsia="Times New Roman" w:cs="Times New Roman"/>
                <w:color w:val="000000"/>
                <w:sz w:val="20"/>
                <w:szCs w:val="20"/>
                <w:lang w:eastAsia="fr-FR"/>
              </w:rPr>
              <w:t>Charges de personnel</w:t>
            </w:r>
          </w:p>
        </w:tc>
        <w:tc>
          <w:tcPr>
            <w:tcW w:w="1701" w:type="dxa"/>
            <w:tcBorders>
              <w:top w:val="nil"/>
              <w:left w:val="nil"/>
              <w:bottom w:val="single" w:sz="8" w:space="0" w:color="auto"/>
              <w:right w:val="single" w:sz="8" w:space="0" w:color="auto"/>
            </w:tcBorders>
            <w:shd w:val="clear" w:color="auto" w:fill="auto"/>
            <w:vAlign w:val="center"/>
          </w:tcPr>
          <w:p w14:paraId="0E569035" w14:textId="169EE84C" w:rsidR="00BD7C74" w:rsidRPr="007B7FFA" w:rsidRDefault="00BD7C74" w:rsidP="00BD7C74">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1 582 080,43 €</w:t>
            </w:r>
          </w:p>
        </w:tc>
        <w:tc>
          <w:tcPr>
            <w:tcW w:w="1701" w:type="dxa"/>
            <w:tcBorders>
              <w:top w:val="nil"/>
              <w:left w:val="nil"/>
              <w:bottom w:val="single" w:sz="8" w:space="0" w:color="auto"/>
              <w:right w:val="single" w:sz="8" w:space="0" w:color="auto"/>
            </w:tcBorders>
            <w:shd w:val="clear" w:color="auto" w:fill="auto"/>
            <w:vAlign w:val="center"/>
          </w:tcPr>
          <w:p w14:paraId="29E70358" w14:textId="3435B39B" w:rsidR="00BD7C74" w:rsidRPr="007B7FFA" w:rsidRDefault="00BD7C74" w:rsidP="00BD7C74">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1 665 068,49 €</w:t>
            </w:r>
          </w:p>
        </w:tc>
        <w:tc>
          <w:tcPr>
            <w:tcW w:w="1701" w:type="dxa"/>
            <w:tcBorders>
              <w:top w:val="nil"/>
              <w:left w:val="nil"/>
              <w:bottom w:val="single" w:sz="8" w:space="0" w:color="auto"/>
              <w:right w:val="single" w:sz="8" w:space="0" w:color="auto"/>
            </w:tcBorders>
            <w:shd w:val="clear" w:color="auto" w:fill="auto"/>
            <w:vAlign w:val="center"/>
          </w:tcPr>
          <w:p w14:paraId="1E780264" w14:textId="3934AAA2" w:rsidR="00BD7C74" w:rsidRPr="007B7FFA" w:rsidRDefault="00CF3A6B" w:rsidP="00BD7C74">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5</w:t>
            </w:r>
            <w:r w:rsidR="00BD7C74">
              <w:rPr>
                <w:rFonts w:eastAsia="Times New Roman" w:cs="Times New Roman"/>
                <w:color w:val="000000"/>
                <w:sz w:val="20"/>
                <w:szCs w:val="20"/>
                <w:lang w:eastAsia="fr-FR"/>
              </w:rPr>
              <w:t>,</w:t>
            </w:r>
            <w:r>
              <w:rPr>
                <w:rFonts w:eastAsia="Times New Roman" w:cs="Times New Roman"/>
                <w:color w:val="000000"/>
                <w:sz w:val="20"/>
                <w:szCs w:val="20"/>
                <w:lang w:eastAsia="fr-FR"/>
              </w:rPr>
              <w:t>2</w:t>
            </w:r>
            <w:r w:rsidR="005A1FFF">
              <w:rPr>
                <w:rFonts w:eastAsia="Times New Roman" w:cs="Times New Roman"/>
                <w:color w:val="000000"/>
                <w:sz w:val="20"/>
                <w:szCs w:val="20"/>
                <w:lang w:eastAsia="fr-FR"/>
              </w:rPr>
              <w:t>5</w:t>
            </w:r>
            <w:r w:rsidR="00BD7C74">
              <w:rPr>
                <w:rFonts w:eastAsia="Times New Roman" w:cs="Times New Roman"/>
                <w:color w:val="000000"/>
                <w:sz w:val="20"/>
                <w:szCs w:val="20"/>
                <w:lang w:eastAsia="fr-FR"/>
              </w:rPr>
              <w:t xml:space="preserve"> %</w:t>
            </w:r>
          </w:p>
        </w:tc>
      </w:tr>
      <w:tr w:rsidR="00BD7C74" w:rsidRPr="007B7FFA" w14:paraId="762F57F9" w14:textId="77777777" w:rsidTr="00A262EF">
        <w:trPr>
          <w:trHeight w:val="51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42432CC" w14:textId="77777777" w:rsidR="00BD7C74" w:rsidRPr="007B7FFA" w:rsidRDefault="00BD7C74" w:rsidP="00BD7C74">
            <w:pPr>
              <w:spacing w:after="0" w:line="240" w:lineRule="auto"/>
              <w:jc w:val="center"/>
              <w:rPr>
                <w:rFonts w:eastAsia="Times New Roman" w:cs="Times New Roman"/>
                <w:color w:val="000000"/>
                <w:sz w:val="20"/>
                <w:szCs w:val="20"/>
                <w:lang w:eastAsia="fr-FR"/>
              </w:rPr>
            </w:pPr>
            <w:r w:rsidRPr="007B7FFA">
              <w:rPr>
                <w:rFonts w:eastAsia="Times New Roman" w:cs="Times New Roman"/>
                <w:color w:val="000000"/>
                <w:sz w:val="20"/>
                <w:szCs w:val="20"/>
                <w:lang w:eastAsia="fr-FR"/>
              </w:rPr>
              <w:t>014</w:t>
            </w:r>
          </w:p>
        </w:tc>
        <w:tc>
          <w:tcPr>
            <w:tcW w:w="3043" w:type="dxa"/>
            <w:tcBorders>
              <w:top w:val="nil"/>
              <w:left w:val="nil"/>
              <w:bottom w:val="single" w:sz="8" w:space="0" w:color="auto"/>
              <w:right w:val="single" w:sz="8" w:space="0" w:color="auto"/>
            </w:tcBorders>
            <w:shd w:val="clear" w:color="auto" w:fill="auto"/>
            <w:vAlign w:val="center"/>
            <w:hideMark/>
          </w:tcPr>
          <w:p w14:paraId="4BBD6565" w14:textId="77777777" w:rsidR="00BD7C74" w:rsidRPr="007B7FFA" w:rsidRDefault="00BD7C74" w:rsidP="00BD7C74">
            <w:pPr>
              <w:spacing w:after="0" w:line="240" w:lineRule="auto"/>
              <w:jc w:val="center"/>
              <w:rPr>
                <w:rFonts w:eastAsia="Times New Roman" w:cs="Times New Roman"/>
                <w:color w:val="000000"/>
                <w:sz w:val="20"/>
                <w:szCs w:val="20"/>
                <w:lang w:eastAsia="fr-FR"/>
              </w:rPr>
            </w:pPr>
            <w:r w:rsidRPr="007B7FFA">
              <w:rPr>
                <w:rFonts w:eastAsia="Times New Roman" w:cs="Times New Roman"/>
                <w:color w:val="000000"/>
                <w:sz w:val="20"/>
                <w:szCs w:val="20"/>
                <w:lang w:eastAsia="fr-FR"/>
              </w:rPr>
              <w:t>Atténuation de produits</w:t>
            </w:r>
          </w:p>
        </w:tc>
        <w:tc>
          <w:tcPr>
            <w:tcW w:w="1701" w:type="dxa"/>
            <w:tcBorders>
              <w:top w:val="nil"/>
              <w:left w:val="nil"/>
              <w:bottom w:val="single" w:sz="8" w:space="0" w:color="auto"/>
              <w:right w:val="single" w:sz="8" w:space="0" w:color="auto"/>
            </w:tcBorders>
            <w:shd w:val="clear" w:color="auto" w:fill="auto"/>
            <w:vAlign w:val="center"/>
          </w:tcPr>
          <w:p w14:paraId="3BE7B0C1" w14:textId="7A718231" w:rsidR="00BD7C74" w:rsidRPr="007B7FFA" w:rsidRDefault="00CA5AA1" w:rsidP="00BD7C74">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752,00 €</w:t>
            </w:r>
          </w:p>
        </w:tc>
        <w:tc>
          <w:tcPr>
            <w:tcW w:w="1701" w:type="dxa"/>
            <w:tcBorders>
              <w:top w:val="nil"/>
              <w:left w:val="nil"/>
              <w:bottom w:val="single" w:sz="8" w:space="0" w:color="auto"/>
              <w:right w:val="single" w:sz="8" w:space="0" w:color="auto"/>
            </w:tcBorders>
            <w:shd w:val="clear" w:color="auto" w:fill="auto"/>
            <w:vAlign w:val="center"/>
          </w:tcPr>
          <w:p w14:paraId="4274A684" w14:textId="2623A516" w:rsidR="00BD7C74" w:rsidRPr="007B7FFA" w:rsidRDefault="00BD7C74" w:rsidP="00BD7C74">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426,00 €</w:t>
            </w:r>
          </w:p>
        </w:tc>
        <w:tc>
          <w:tcPr>
            <w:tcW w:w="1701" w:type="dxa"/>
            <w:tcBorders>
              <w:top w:val="nil"/>
              <w:left w:val="nil"/>
              <w:bottom w:val="single" w:sz="8" w:space="0" w:color="auto"/>
              <w:right w:val="single" w:sz="8" w:space="0" w:color="auto"/>
            </w:tcBorders>
            <w:shd w:val="clear" w:color="auto" w:fill="auto"/>
            <w:vAlign w:val="center"/>
          </w:tcPr>
          <w:p w14:paraId="1024FDF5" w14:textId="3AB05F03" w:rsidR="00BD7C74" w:rsidRPr="007B7FFA" w:rsidRDefault="008D1ECD" w:rsidP="00BD7C74">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- 43,35 %</w:t>
            </w:r>
          </w:p>
        </w:tc>
      </w:tr>
      <w:tr w:rsidR="00BD7C74" w:rsidRPr="007B7FFA" w14:paraId="734EB721" w14:textId="77777777" w:rsidTr="00A262EF">
        <w:trPr>
          <w:trHeight w:val="51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14EDF99" w14:textId="77777777" w:rsidR="00BD7C74" w:rsidRPr="007B7FFA" w:rsidRDefault="00BD7C74" w:rsidP="00BD7C74">
            <w:pPr>
              <w:spacing w:after="0" w:line="240" w:lineRule="auto"/>
              <w:jc w:val="center"/>
              <w:rPr>
                <w:rFonts w:eastAsia="Times New Roman" w:cs="Times New Roman"/>
                <w:color w:val="000000"/>
                <w:sz w:val="20"/>
                <w:szCs w:val="20"/>
                <w:lang w:eastAsia="fr-FR"/>
              </w:rPr>
            </w:pPr>
            <w:r w:rsidRPr="007B7FFA">
              <w:rPr>
                <w:rFonts w:eastAsia="Times New Roman" w:cs="Times New Roman"/>
                <w:color w:val="000000"/>
                <w:sz w:val="20"/>
                <w:szCs w:val="20"/>
                <w:lang w:eastAsia="fr-FR"/>
              </w:rPr>
              <w:t>65</w:t>
            </w:r>
          </w:p>
        </w:tc>
        <w:tc>
          <w:tcPr>
            <w:tcW w:w="3043" w:type="dxa"/>
            <w:tcBorders>
              <w:top w:val="nil"/>
              <w:left w:val="nil"/>
              <w:bottom w:val="single" w:sz="8" w:space="0" w:color="auto"/>
              <w:right w:val="single" w:sz="8" w:space="0" w:color="auto"/>
            </w:tcBorders>
            <w:shd w:val="clear" w:color="auto" w:fill="auto"/>
            <w:vAlign w:val="center"/>
            <w:hideMark/>
          </w:tcPr>
          <w:p w14:paraId="19E4B90A" w14:textId="77777777" w:rsidR="00BD7C74" w:rsidRPr="007B7FFA" w:rsidRDefault="00BD7C74" w:rsidP="00BD7C74">
            <w:pPr>
              <w:spacing w:after="0" w:line="240" w:lineRule="auto"/>
              <w:jc w:val="center"/>
              <w:rPr>
                <w:rFonts w:eastAsia="Times New Roman" w:cs="Times New Roman"/>
                <w:color w:val="000000"/>
                <w:sz w:val="20"/>
                <w:szCs w:val="20"/>
                <w:lang w:eastAsia="fr-FR"/>
              </w:rPr>
            </w:pPr>
            <w:r w:rsidRPr="007B7FFA">
              <w:rPr>
                <w:rFonts w:eastAsia="Times New Roman" w:cs="Times New Roman"/>
                <w:color w:val="000000"/>
                <w:sz w:val="20"/>
                <w:szCs w:val="20"/>
                <w:lang w:eastAsia="fr-FR"/>
              </w:rPr>
              <w:t>Autres charges de gestion courante</w:t>
            </w:r>
          </w:p>
        </w:tc>
        <w:tc>
          <w:tcPr>
            <w:tcW w:w="1701" w:type="dxa"/>
            <w:tcBorders>
              <w:top w:val="nil"/>
              <w:left w:val="nil"/>
              <w:bottom w:val="single" w:sz="8" w:space="0" w:color="auto"/>
              <w:right w:val="single" w:sz="8" w:space="0" w:color="auto"/>
            </w:tcBorders>
            <w:shd w:val="clear" w:color="auto" w:fill="auto"/>
            <w:vAlign w:val="center"/>
          </w:tcPr>
          <w:p w14:paraId="769B80E8" w14:textId="49351007" w:rsidR="00BD7C74" w:rsidRPr="007B7FFA" w:rsidRDefault="00BD7C74" w:rsidP="00BD7C74">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136 019,91 €</w:t>
            </w:r>
          </w:p>
        </w:tc>
        <w:tc>
          <w:tcPr>
            <w:tcW w:w="1701" w:type="dxa"/>
            <w:tcBorders>
              <w:top w:val="nil"/>
              <w:left w:val="nil"/>
              <w:bottom w:val="single" w:sz="8" w:space="0" w:color="auto"/>
              <w:right w:val="single" w:sz="8" w:space="0" w:color="auto"/>
            </w:tcBorders>
            <w:shd w:val="clear" w:color="auto" w:fill="auto"/>
            <w:vAlign w:val="center"/>
          </w:tcPr>
          <w:p w14:paraId="46AD4109" w14:textId="40554538" w:rsidR="00BD7C74" w:rsidRPr="007B7FFA" w:rsidRDefault="00161458" w:rsidP="00BD7C74">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139 276,62</w:t>
            </w:r>
            <w:r w:rsidR="00BD7C74">
              <w:rPr>
                <w:rFonts w:eastAsia="Times New Roman" w:cs="Times New Roman"/>
                <w:color w:val="000000"/>
                <w:sz w:val="20"/>
                <w:szCs w:val="20"/>
                <w:lang w:eastAsia="fr-FR"/>
              </w:rPr>
              <w:t xml:space="preserve"> €</w:t>
            </w:r>
          </w:p>
        </w:tc>
        <w:tc>
          <w:tcPr>
            <w:tcW w:w="1701" w:type="dxa"/>
            <w:tcBorders>
              <w:top w:val="nil"/>
              <w:left w:val="nil"/>
              <w:bottom w:val="single" w:sz="8" w:space="0" w:color="auto"/>
              <w:right w:val="single" w:sz="8" w:space="0" w:color="auto"/>
            </w:tcBorders>
            <w:shd w:val="clear" w:color="auto" w:fill="auto"/>
            <w:vAlign w:val="center"/>
          </w:tcPr>
          <w:p w14:paraId="7FA4E0BD" w14:textId="02791367" w:rsidR="00BD7C74" w:rsidRPr="007B7FFA" w:rsidRDefault="005A1FFF" w:rsidP="00BD7C74">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2</w:t>
            </w:r>
            <w:r w:rsidR="00BD7C74">
              <w:rPr>
                <w:rFonts w:eastAsia="Times New Roman" w:cs="Times New Roman"/>
                <w:color w:val="000000"/>
                <w:sz w:val="20"/>
                <w:szCs w:val="20"/>
                <w:lang w:eastAsia="fr-FR"/>
              </w:rPr>
              <w:t>,</w:t>
            </w:r>
            <w:r>
              <w:rPr>
                <w:rFonts w:eastAsia="Times New Roman" w:cs="Times New Roman"/>
                <w:color w:val="000000"/>
                <w:sz w:val="20"/>
                <w:szCs w:val="20"/>
                <w:lang w:eastAsia="fr-FR"/>
              </w:rPr>
              <w:t>39</w:t>
            </w:r>
            <w:r w:rsidR="00BD7C74">
              <w:rPr>
                <w:rFonts w:eastAsia="Times New Roman" w:cs="Times New Roman"/>
                <w:color w:val="000000"/>
                <w:sz w:val="20"/>
                <w:szCs w:val="20"/>
                <w:lang w:eastAsia="fr-FR"/>
              </w:rPr>
              <w:t xml:space="preserve"> %</w:t>
            </w:r>
          </w:p>
        </w:tc>
      </w:tr>
      <w:tr w:rsidR="00BD7C74" w:rsidRPr="007B7FFA" w14:paraId="56E6B000" w14:textId="77777777" w:rsidTr="00A262EF">
        <w:trPr>
          <w:trHeight w:val="51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DD47296" w14:textId="77777777" w:rsidR="00BD7C74" w:rsidRPr="007B7FFA" w:rsidRDefault="00BD7C74" w:rsidP="00BD7C74">
            <w:pPr>
              <w:spacing w:after="0" w:line="240" w:lineRule="auto"/>
              <w:jc w:val="center"/>
              <w:rPr>
                <w:rFonts w:eastAsia="Times New Roman" w:cs="Times New Roman"/>
                <w:color w:val="000000"/>
                <w:sz w:val="20"/>
                <w:szCs w:val="20"/>
                <w:lang w:eastAsia="fr-FR"/>
              </w:rPr>
            </w:pPr>
            <w:r w:rsidRPr="007B7FFA">
              <w:rPr>
                <w:rFonts w:eastAsia="Times New Roman" w:cs="Times New Roman"/>
                <w:color w:val="000000"/>
                <w:sz w:val="20"/>
                <w:szCs w:val="20"/>
                <w:lang w:eastAsia="fr-FR"/>
              </w:rPr>
              <w:t>66</w:t>
            </w:r>
          </w:p>
        </w:tc>
        <w:tc>
          <w:tcPr>
            <w:tcW w:w="3043" w:type="dxa"/>
            <w:tcBorders>
              <w:top w:val="nil"/>
              <w:left w:val="nil"/>
              <w:bottom w:val="single" w:sz="8" w:space="0" w:color="auto"/>
              <w:right w:val="single" w:sz="8" w:space="0" w:color="auto"/>
            </w:tcBorders>
            <w:shd w:val="clear" w:color="auto" w:fill="auto"/>
            <w:vAlign w:val="center"/>
            <w:hideMark/>
          </w:tcPr>
          <w:p w14:paraId="4A3CB93C" w14:textId="77777777" w:rsidR="00BD7C74" w:rsidRPr="007B7FFA" w:rsidRDefault="00BD7C74" w:rsidP="00BD7C74">
            <w:pPr>
              <w:spacing w:after="0" w:line="240" w:lineRule="auto"/>
              <w:jc w:val="center"/>
              <w:rPr>
                <w:rFonts w:eastAsia="Times New Roman" w:cs="Times New Roman"/>
                <w:color w:val="000000"/>
                <w:sz w:val="20"/>
                <w:szCs w:val="20"/>
                <w:lang w:eastAsia="fr-FR"/>
              </w:rPr>
            </w:pPr>
            <w:r w:rsidRPr="007B7FFA">
              <w:rPr>
                <w:rFonts w:eastAsia="Times New Roman" w:cs="Times New Roman"/>
                <w:color w:val="000000"/>
                <w:sz w:val="20"/>
                <w:szCs w:val="20"/>
                <w:lang w:eastAsia="fr-FR"/>
              </w:rPr>
              <w:t>Charges financières</w:t>
            </w:r>
          </w:p>
        </w:tc>
        <w:tc>
          <w:tcPr>
            <w:tcW w:w="1701" w:type="dxa"/>
            <w:tcBorders>
              <w:top w:val="nil"/>
              <w:left w:val="nil"/>
              <w:bottom w:val="single" w:sz="8" w:space="0" w:color="auto"/>
              <w:right w:val="single" w:sz="8" w:space="0" w:color="auto"/>
            </w:tcBorders>
            <w:shd w:val="clear" w:color="auto" w:fill="auto"/>
            <w:vAlign w:val="center"/>
          </w:tcPr>
          <w:p w14:paraId="169B1D59" w14:textId="14643AB2" w:rsidR="00BD7C74" w:rsidRPr="007B7FFA" w:rsidRDefault="00BD7C74" w:rsidP="00BD7C74">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58 959,52 €</w:t>
            </w:r>
          </w:p>
        </w:tc>
        <w:tc>
          <w:tcPr>
            <w:tcW w:w="1701" w:type="dxa"/>
            <w:tcBorders>
              <w:top w:val="nil"/>
              <w:left w:val="nil"/>
              <w:bottom w:val="single" w:sz="8" w:space="0" w:color="auto"/>
              <w:right w:val="single" w:sz="8" w:space="0" w:color="auto"/>
            </w:tcBorders>
            <w:shd w:val="clear" w:color="auto" w:fill="auto"/>
            <w:vAlign w:val="center"/>
          </w:tcPr>
          <w:p w14:paraId="57C19E0C" w14:textId="25CC689B" w:rsidR="00BD7C74" w:rsidRPr="007B7FFA" w:rsidRDefault="00161458" w:rsidP="00BD7C74">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55 171,39</w:t>
            </w:r>
            <w:r w:rsidR="00BD7C74">
              <w:rPr>
                <w:rFonts w:eastAsia="Times New Roman" w:cs="Times New Roman"/>
                <w:color w:val="000000"/>
                <w:sz w:val="20"/>
                <w:szCs w:val="20"/>
                <w:lang w:eastAsia="fr-FR"/>
              </w:rPr>
              <w:t xml:space="preserve"> €</w:t>
            </w:r>
          </w:p>
        </w:tc>
        <w:tc>
          <w:tcPr>
            <w:tcW w:w="1701" w:type="dxa"/>
            <w:tcBorders>
              <w:top w:val="nil"/>
              <w:left w:val="nil"/>
              <w:bottom w:val="single" w:sz="8" w:space="0" w:color="auto"/>
              <w:right w:val="single" w:sz="8" w:space="0" w:color="auto"/>
            </w:tcBorders>
            <w:shd w:val="clear" w:color="auto" w:fill="auto"/>
            <w:vAlign w:val="center"/>
          </w:tcPr>
          <w:p w14:paraId="39D90D79" w14:textId="0E98701F" w:rsidR="00BD7C74" w:rsidRPr="007B7FFA" w:rsidRDefault="00F20643" w:rsidP="00BD7C74">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- 6,</w:t>
            </w:r>
            <w:r w:rsidR="00555BBD">
              <w:rPr>
                <w:rFonts w:eastAsia="Times New Roman" w:cs="Times New Roman"/>
                <w:color w:val="000000"/>
                <w:sz w:val="20"/>
                <w:szCs w:val="20"/>
                <w:lang w:eastAsia="fr-FR"/>
              </w:rPr>
              <w:t>42</w:t>
            </w:r>
            <w:r w:rsidR="000A2BD4">
              <w:rPr>
                <w:rFonts w:eastAsia="Times New Roman" w:cs="Times New Roman"/>
                <w:color w:val="000000"/>
                <w:sz w:val="20"/>
                <w:szCs w:val="20"/>
                <w:lang w:eastAsia="fr-FR"/>
              </w:rPr>
              <w:t xml:space="preserve"> </w:t>
            </w:r>
            <w:r w:rsidR="00BD7C74">
              <w:rPr>
                <w:rFonts w:eastAsia="Times New Roman" w:cs="Times New Roman"/>
                <w:color w:val="000000"/>
                <w:sz w:val="20"/>
                <w:szCs w:val="20"/>
                <w:lang w:eastAsia="fr-FR"/>
              </w:rPr>
              <w:t>%</w:t>
            </w:r>
          </w:p>
        </w:tc>
      </w:tr>
      <w:tr w:rsidR="00BD7C74" w:rsidRPr="007B7FFA" w14:paraId="5758B67C" w14:textId="77777777" w:rsidTr="00A262EF">
        <w:trPr>
          <w:trHeight w:val="51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AFAD00E" w14:textId="77777777" w:rsidR="00BD7C74" w:rsidRPr="007B7FFA" w:rsidRDefault="00BD7C74" w:rsidP="00BD7C74">
            <w:pPr>
              <w:spacing w:after="0" w:line="240" w:lineRule="auto"/>
              <w:jc w:val="center"/>
              <w:rPr>
                <w:rFonts w:eastAsia="Times New Roman" w:cs="Times New Roman"/>
                <w:color w:val="000000"/>
                <w:sz w:val="20"/>
                <w:szCs w:val="20"/>
                <w:lang w:eastAsia="fr-FR"/>
              </w:rPr>
            </w:pPr>
            <w:r w:rsidRPr="007B7FFA">
              <w:rPr>
                <w:rFonts w:eastAsia="Times New Roman" w:cs="Times New Roman"/>
                <w:color w:val="000000"/>
                <w:sz w:val="20"/>
                <w:szCs w:val="20"/>
                <w:lang w:eastAsia="fr-FR"/>
              </w:rPr>
              <w:t>67</w:t>
            </w:r>
          </w:p>
        </w:tc>
        <w:tc>
          <w:tcPr>
            <w:tcW w:w="3043" w:type="dxa"/>
            <w:tcBorders>
              <w:top w:val="nil"/>
              <w:left w:val="nil"/>
              <w:bottom w:val="single" w:sz="8" w:space="0" w:color="auto"/>
              <w:right w:val="single" w:sz="8" w:space="0" w:color="auto"/>
            </w:tcBorders>
            <w:shd w:val="clear" w:color="auto" w:fill="auto"/>
            <w:vAlign w:val="center"/>
            <w:hideMark/>
          </w:tcPr>
          <w:p w14:paraId="330CA40B" w14:textId="77777777" w:rsidR="00BD7C74" w:rsidRPr="007B7FFA" w:rsidRDefault="00BD7C74" w:rsidP="00BD7C74">
            <w:pPr>
              <w:spacing w:after="0" w:line="240" w:lineRule="auto"/>
              <w:jc w:val="center"/>
              <w:rPr>
                <w:rFonts w:eastAsia="Times New Roman" w:cs="Times New Roman"/>
                <w:color w:val="000000"/>
                <w:sz w:val="20"/>
                <w:szCs w:val="20"/>
                <w:lang w:eastAsia="fr-FR"/>
              </w:rPr>
            </w:pPr>
            <w:r w:rsidRPr="007B7FFA">
              <w:rPr>
                <w:rFonts w:eastAsia="Times New Roman" w:cs="Times New Roman"/>
                <w:color w:val="000000"/>
                <w:sz w:val="20"/>
                <w:szCs w:val="20"/>
                <w:lang w:eastAsia="fr-FR"/>
              </w:rPr>
              <w:t>Charges exceptionnelles</w:t>
            </w:r>
          </w:p>
        </w:tc>
        <w:tc>
          <w:tcPr>
            <w:tcW w:w="1701" w:type="dxa"/>
            <w:tcBorders>
              <w:top w:val="nil"/>
              <w:left w:val="nil"/>
              <w:bottom w:val="single" w:sz="8" w:space="0" w:color="auto"/>
              <w:right w:val="single" w:sz="8" w:space="0" w:color="auto"/>
            </w:tcBorders>
            <w:shd w:val="clear" w:color="auto" w:fill="auto"/>
            <w:vAlign w:val="center"/>
          </w:tcPr>
          <w:p w14:paraId="06FE16B0" w14:textId="16C4F088" w:rsidR="00BD7C74" w:rsidRPr="007B7FFA" w:rsidRDefault="00BD7C74" w:rsidP="00BD7C74">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5 133,41 €</w:t>
            </w:r>
          </w:p>
        </w:tc>
        <w:tc>
          <w:tcPr>
            <w:tcW w:w="1701" w:type="dxa"/>
            <w:tcBorders>
              <w:top w:val="nil"/>
              <w:left w:val="nil"/>
              <w:bottom w:val="single" w:sz="8" w:space="0" w:color="auto"/>
              <w:right w:val="single" w:sz="8" w:space="0" w:color="auto"/>
            </w:tcBorders>
            <w:shd w:val="clear" w:color="auto" w:fill="auto"/>
            <w:vAlign w:val="center"/>
          </w:tcPr>
          <w:p w14:paraId="5CB90580" w14:textId="782F6429" w:rsidR="00BD7C74" w:rsidRPr="007B7FFA" w:rsidRDefault="00161458" w:rsidP="00BD7C74">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4 427,30</w:t>
            </w:r>
            <w:r w:rsidR="00BD7C74">
              <w:rPr>
                <w:rFonts w:eastAsia="Times New Roman" w:cs="Times New Roman"/>
                <w:color w:val="000000"/>
                <w:sz w:val="20"/>
                <w:szCs w:val="20"/>
                <w:lang w:eastAsia="fr-FR"/>
              </w:rPr>
              <w:t xml:space="preserve"> €</w:t>
            </w:r>
          </w:p>
        </w:tc>
        <w:tc>
          <w:tcPr>
            <w:tcW w:w="1701" w:type="dxa"/>
            <w:tcBorders>
              <w:top w:val="nil"/>
              <w:left w:val="nil"/>
              <w:bottom w:val="single" w:sz="8" w:space="0" w:color="auto"/>
              <w:right w:val="single" w:sz="8" w:space="0" w:color="auto"/>
            </w:tcBorders>
            <w:shd w:val="clear" w:color="auto" w:fill="auto"/>
            <w:vAlign w:val="center"/>
          </w:tcPr>
          <w:p w14:paraId="4114D5BE" w14:textId="4F22F158" w:rsidR="00BD7C74" w:rsidRPr="007B7FFA" w:rsidRDefault="00BD7C74" w:rsidP="00BD7C74">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w:t>
            </w:r>
            <w:r w:rsidR="000A2BD4">
              <w:rPr>
                <w:rFonts w:eastAsia="Times New Roman" w:cs="Times New Roman"/>
                <w:color w:val="000000"/>
                <w:sz w:val="20"/>
                <w:szCs w:val="20"/>
                <w:lang w:eastAsia="fr-FR"/>
              </w:rPr>
              <w:t>13</w:t>
            </w:r>
            <w:r>
              <w:rPr>
                <w:rFonts w:eastAsia="Times New Roman" w:cs="Times New Roman"/>
                <w:color w:val="000000"/>
                <w:sz w:val="20"/>
                <w:szCs w:val="20"/>
                <w:lang w:eastAsia="fr-FR"/>
              </w:rPr>
              <w:t>,</w:t>
            </w:r>
            <w:r w:rsidR="000A2BD4">
              <w:rPr>
                <w:rFonts w:eastAsia="Times New Roman" w:cs="Times New Roman"/>
                <w:color w:val="000000"/>
                <w:sz w:val="20"/>
                <w:szCs w:val="20"/>
                <w:lang w:eastAsia="fr-FR"/>
              </w:rPr>
              <w:t>76</w:t>
            </w:r>
            <w:r>
              <w:rPr>
                <w:rFonts w:eastAsia="Times New Roman" w:cs="Times New Roman"/>
                <w:color w:val="000000"/>
                <w:sz w:val="20"/>
                <w:szCs w:val="20"/>
                <w:lang w:eastAsia="fr-FR"/>
              </w:rPr>
              <w:t xml:space="preserve"> %</w:t>
            </w:r>
          </w:p>
        </w:tc>
      </w:tr>
      <w:tr w:rsidR="00BC5464" w:rsidRPr="007B7FFA" w14:paraId="5B55FC3D" w14:textId="77777777" w:rsidTr="00DB74BE">
        <w:trPr>
          <w:trHeight w:val="567"/>
          <w:jc w:val="center"/>
        </w:trPr>
        <w:tc>
          <w:tcPr>
            <w:tcW w:w="4243" w:type="dxa"/>
            <w:gridSpan w:val="2"/>
            <w:tcBorders>
              <w:top w:val="single" w:sz="8" w:space="0" w:color="auto"/>
              <w:left w:val="single" w:sz="8" w:space="0" w:color="auto"/>
              <w:bottom w:val="single" w:sz="8" w:space="0" w:color="auto"/>
              <w:right w:val="single" w:sz="8" w:space="0" w:color="auto"/>
            </w:tcBorders>
            <w:shd w:val="pct10" w:color="auto" w:fill="auto"/>
            <w:vAlign w:val="center"/>
            <w:hideMark/>
          </w:tcPr>
          <w:p w14:paraId="57812BAE" w14:textId="760D6D2E" w:rsidR="00BC5464" w:rsidRPr="007B7FFA" w:rsidRDefault="00BC5464" w:rsidP="00922196">
            <w:pPr>
              <w:spacing w:after="0" w:line="240" w:lineRule="auto"/>
              <w:jc w:val="center"/>
              <w:rPr>
                <w:rFonts w:eastAsia="Times New Roman" w:cs="Times New Roman"/>
                <w:color w:val="000000"/>
                <w:sz w:val="20"/>
                <w:szCs w:val="20"/>
                <w:lang w:eastAsia="fr-FR"/>
              </w:rPr>
            </w:pPr>
            <w:r w:rsidRPr="007B7FFA">
              <w:rPr>
                <w:rFonts w:eastAsia="Times New Roman" w:cs="Times New Roman"/>
                <w:color w:val="000000"/>
                <w:sz w:val="20"/>
                <w:szCs w:val="20"/>
                <w:lang w:eastAsia="fr-FR"/>
              </w:rPr>
              <w:t>Total des dépenses</w:t>
            </w:r>
          </w:p>
        </w:tc>
        <w:tc>
          <w:tcPr>
            <w:tcW w:w="1701" w:type="dxa"/>
            <w:tcBorders>
              <w:top w:val="single" w:sz="8" w:space="0" w:color="auto"/>
              <w:left w:val="nil"/>
              <w:bottom w:val="single" w:sz="8" w:space="0" w:color="auto"/>
              <w:right w:val="single" w:sz="8" w:space="0" w:color="auto"/>
            </w:tcBorders>
            <w:shd w:val="pct10" w:color="auto" w:fill="auto"/>
            <w:vAlign w:val="center"/>
          </w:tcPr>
          <w:p w14:paraId="1175968B" w14:textId="58635712" w:rsidR="00BC5464" w:rsidRPr="007B7FFA" w:rsidRDefault="00BD7C74" w:rsidP="00922196">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2 339 873,36 €</w:t>
            </w:r>
          </w:p>
        </w:tc>
        <w:tc>
          <w:tcPr>
            <w:tcW w:w="1701" w:type="dxa"/>
            <w:tcBorders>
              <w:top w:val="single" w:sz="8" w:space="0" w:color="auto"/>
              <w:left w:val="nil"/>
              <w:bottom w:val="single" w:sz="8" w:space="0" w:color="auto"/>
              <w:right w:val="single" w:sz="8" w:space="0" w:color="auto"/>
            </w:tcBorders>
            <w:shd w:val="pct10" w:color="auto" w:fill="auto"/>
            <w:vAlign w:val="center"/>
          </w:tcPr>
          <w:p w14:paraId="671D0E49" w14:textId="474ADC1A" w:rsidR="00BC5464" w:rsidRPr="007B7FFA" w:rsidRDefault="00161458" w:rsidP="00922196">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2 498 3</w:t>
            </w:r>
            <w:r w:rsidR="00846D60">
              <w:rPr>
                <w:rFonts w:eastAsia="Times New Roman" w:cs="Times New Roman"/>
                <w:color w:val="000000"/>
                <w:sz w:val="20"/>
                <w:szCs w:val="20"/>
                <w:lang w:eastAsia="fr-FR"/>
              </w:rPr>
              <w:t>20</w:t>
            </w:r>
            <w:r>
              <w:rPr>
                <w:rFonts w:eastAsia="Times New Roman" w:cs="Times New Roman"/>
                <w:color w:val="000000"/>
                <w:sz w:val="20"/>
                <w:szCs w:val="20"/>
                <w:lang w:eastAsia="fr-FR"/>
              </w:rPr>
              <w:t>,</w:t>
            </w:r>
            <w:r w:rsidR="00846D60">
              <w:rPr>
                <w:rFonts w:eastAsia="Times New Roman" w:cs="Times New Roman"/>
                <w:color w:val="000000"/>
                <w:sz w:val="20"/>
                <w:szCs w:val="20"/>
                <w:lang w:eastAsia="fr-FR"/>
              </w:rPr>
              <w:t>09</w:t>
            </w:r>
            <w:r w:rsidR="00922196">
              <w:rPr>
                <w:rFonts w:eastAsia="Times New Roman" w:cs="Times New Roman"/>
                <w:color w:val="000000"/>
                <w:sz w:val="20"/>
                <w:szCs w:val="20"/>
                <w:lang w:eastAsia="fr-FR"/>
              </w:rPr>
              <w:t xml:space="preserve"> €</w:t>
            </w:r>
          </w:p>
        </w:tc>
        <w:tc>
          <w:tcPr>
            <w:tcW w:w="1701" w:type="dxa"/>
            <w:tcBorders>
              <w:top w:val="single" w:sz="8" w:space="0" w:color="auto"/>
              <w:left w:val="nil"/>
              <w:bottom w:val="single" w:sz="8" w:space="0" w:color="auto"/>
              <w:right w:val="single" w:sz="8" w:space="0" w:color="auto"/>
            </w:tcBorders>
            <w:shd w:val="pct10" w:color="auto" w:fill="auto"/>
            <w:vAlign w:val="center"/>
          </w:tcPr>
          <w:p w14:paraId="60BA04C6" w14:textId="4B839DBB" w:rsidR="00BC5464" w:rsidRPr="007B7FFA" w:rsidRDefault="00903F33" w:rsidP="00922196">
            <w:pPr>
              <w:spacing w:after="0" w:line="240" w:lineRule="auto"/>
              <w:jc w:val="center"/>
              <w:rPr>
                <w:rFonts w:eastAsia="Times New Roman" w:cs="Times New Roman"/>
                <w:color w:val="000000"/>
                <w:sz w:val="20"/>
                <w:szCs w:val="20"/>
                <w:lang w:eastAsia="fr-FR"/>
              </w:rPr>
            </w:pPr>
            <w:r>
              <w:rPr>
                <w:rFonts w:eastAsia="Times New Roman" w:cs="Times New Roman"/>
                <w:color w:val="000000"/>
                <w:sz w:val="20"/>
                <w:szCs w:val="20"/>
                <w:lang w:eastAsia="fr-FR"/>
              </w:rPr>
              <w:t>6,77 %</w:t>
            </w:r>
          </w:p>
        </w:tc>
      </w:tr>
    </w:tbl>
    <w:p w14:paraId="0CBAA7F9" w14:textId="77777777" w:rsidR="00D446F3" w:rsidRPr="007B7FFA" w:rsidRDefault="00D446F3" w:rsidP="00BC5464">
      <w:pPr>
        <w:jc w:val="both"/>
        <w:rPr>
          <w:b/>
          <w:bCs/>
          <w:color w:val="7030A0"/>
          <w:sz w:val="20"/>
          <w:szCs w:val="20"/>
        </w:rPr>
      </w:pPr>
    </w:p>
    <w:p w14:paraId="6FCABFF0" w14:textId="77777777" w:rsidR="00BC5464" w:rsidRPr="00932377" w:rsidRDefault="00BC5464" w:rsidP="00BC5464">
      <w:pPr>
        <w:jc w:val="both"/>
        <w:rPr>
          <w:b/>
          <w:bCs/>
          <w:color w:val="7030A0"/>
          <w:sz w:val="20"/>
          <w:szCs w:val="20"/>
        </w:rPr>
      </w:pPr>
      <w:r w:rsidRPr="00932377">
        <w:rPr>
          <w:b/>
          <w:bCs/>
          <w:color w:val="7030A0"/>
          <w:sz w:val="20"/>
          <w:szCs w:val="20"/>
        </w:rPr>
        <w:t>Les recettes de fonctionnement :</w:t>
      </w:r>
    </w:p>
    <w:p w14:paraId="50325B23" w14:textId="77777777" w:rsidR="007025A6" w:rsidRPr="007B7FFA" w:rsidRDefault="00B24418" w:rsidP="00D446F3">
      <w:pPr>
        <w:spacing w:after="0" w:line="240" w:lineRule="auto"/>
        <w:jc w:val="both"/>
        <w:rPr>
          <w:sz w:val="20"/>
          <w:szCs w:val="20"/>
        </w:rPr>
      </w:pPr>
      <w:r w:rsidRPr="007B7FFA">
        <w:rPr>
          <w:sz w:val="20"/>
          <w:szCs w:val="20"/>
        </w:rPr>
        <w:t>Les recettes réelles peuvent être classées en plusieurs catégories selon leur origine :</w:t>
      </w:r>
    </w:p>
    <w:p w14:paraId="36DF3EC8" w14:textId="77777777" w:rsidR="004027FC" w:rsidRPr="007B7FFA" w:rsidRDefault="004027FC" w:rsidP="00D446F3">
      <w:pPr>
        <w:pStyle w:val="Paragraphedeliste"/>
        <w:numPr>
          <w:ilvl w:val="0"/>
          <w:numId w:val="1"/>
        </w:numPr>
        <w:spacing w:after="0" w:line="240" w:lineRule="auto"/>
        <w:jc w:val="both"/>
        <w:rPr>
          <w:sz w:val="20"/>
          <w:szCs w:val="20"/>
        </w:rPr>
      </w:pPr>
      <w:r w:rsidRPr="007B7FFA">
        <w:rPr>
          <w:sz w:val="20"/>
          <w:szCs w:val="20"/>
        </w:rPr>
        <w:t>Atténuation de charges</w:t>
      </w:r>
    </w:p>
    <w:p w14:paraId="2D785C2B" w14:textId="77777777" w:rsidR="00B24418" w:rsidRPr="007B7FFA" w:rsidRDefault="00B24418" w:rsidP="00D446F3">
      <w:pPr>
        <w:pStyle w:val="Paragraphedeliste"/>
        <w:numPr>
          <w:ilvl w:val="0"/>
          <w:numId w:val="1"/>
        </w:numPr>
        <w:spacing w:after="0" w:line="240" w:lineRule="auto"/>
        <w:jc w:val="both"/>
        <w:rPr>
          <w:sz w:val="20"/>
          <w:szCs w:val="20"/>
        </w:rPr>
      </w:pPr>
      <w:r w:rsidRPr="007B7FFA">
        <w:rPr>
          <w:sz w:val="20"/>
          <w:szCs w:val="20"/>
        </w:rPr>
        <w:t>Les produits issus de la fiscalité directe locale</w:t>
      </w:r>
    </w:p>
    <w:p w14:paraId="7D74AB78" w14:textId="77777777" w:rsidR="00B24418" w:rsidRPr="007B7FFA" w:rsidRDefault="00B24418" w:rsidP="00D446F3">
      <w:pPr>
        <w:pStyle w:val="Paragraphedeliste"/>
        <w:numPr>
          <w:ilvl w:val="0"/>
          <w:numId w:val="1"/>
        </w:numPr>
        <w:spacing w:after="0" w:line="240" w:lineRule="auto"/>
        <w:jc w:val="both"/>
        <w:rPr>
          <w:sz w:val="20"/>
          <w:szCs w:val="20"/>
        </w:rPr>
      </w:pPr>
      <w:r w:rsidRPr="007B7FFA">
        <w:rPr>
          <w:sz w:val="20"/>
          <w:szCs w:val="20"/>
        </w:rPr>
        <w:t>Les dotations de l’</w:t>
      </w:r>
      <w:r w:rsidR="004027FC" w:rsidRPr="007B7FFA">
        <w:rPr>
          <w:sz w:val="20"/>
          <w:szCs w:val="20"/>
        </w:rPr>
        <w:t>État</w:t>
      </w:r>
      <w:r w:rsidRPr="007B7FFA">
        <w:rPr>
          <w:sz w:val="20"/>
          <w:szCs w:val="20"/>
        </w:rPr>
        <w:t xml:space="preserve"> (dont la dotation globale de fonctionnement) et </w:t>
      </w:r>
      <w:r w:rsidR="00D07ADB">
        <w:rPr>
          <w:sz w:val="20"/>
          <w:szCs w:val="20"/>
        </w:rPr>
        <w:t xml:space="preserve">les </w:t>
      </w:r>
      <w:r w:rsidRPr="007B7FFA">
        <w:rPr>
          <w:sz w:val="20"/>
          <w:szCs w:val="20"/>
        </w:rPr>
        <w:t>participations d’autres collectivités</w:t>
      </w:r>
    </w:p>
    <w:p w14:paraId="7FE3103A" w14:textId="77777777" w:rsidR="00B24418" w:rsidRPr="007B7FFA" w:rsidRDefault="00B24418" w:rsidP="00D446F3">
      <w:pPr>
        <w:pStyle w:val="Paragraphedeliste"/>
        <w:numPr>
          <w:ilvl w:val="0"/>
          <w:numId w:val="1"/>
        </w:numPr>
        <w:spacing w:after="0" w:line="240" w:lineRule="auto"/>
        <w:jc w:val="both"/>
        <w:rPr>
          <w:sz w:val="20"/>
          <w:szCs w:val="20"/>
        </w:rPr>
      </w:pPr>
      <w:r w:rsidRPr="007B7FFA">
        <w:rPr>
          <w:sz w:val="20"/>
          <w:szCs w:val="20"/>
        </w:rPr>
        <w:t>Les produits des services</w:t>
      </w:r>
    </w:p>
    <w:p w14:paraId="44F2882B" w14:textId="77777777" w:rsidR="00B24418" w:rsidRPr="007B7FFA" w:rsidRDefault="00B24418" w:rsidP="00D446F3">
      <w:pPr>
        <w:pStyle w:val="Paragraphedeliste"/>
        <w:numPr>
          <w:ilvl w:val="0"/>
          <w:numId w:val="1"/>
        </w:numPr>
        <w:spacing w:after="0" w:line="240" w:lineRule="auto"/>
        <w:jc w:val="both"/>
        <w:rPr>
          <w:sz w:val="20"/>
          <w:szCs w:val="20"/>
        </w:rPr>
      </w:pPr>
      <w:r w:rsidRPr="007B7FFA">
        <w:rPr>
          <w:sz w:val="20"/>
          <w:szCs w:val="20"/>
        </w:rPr>
        <w:t>Les revenus des</w:t>
      </w:r>
      <w:r w:rsidR="001F201D" w:rsidRPr="007B7FFA">
        <w:rPr>
          <w:sz w:val="20"/>
          <w:szCs w:val="20"/>
        </w:rPr>
        <w:t xml:space="preserve"> immeubles communaux</w:t>
      </w:r>
    </w:p>
    <w:p w14:paraId="275EA048" w14:textId="77777777" w:rsidR="007C003B" w:rsidRPr="007B7FFA" w:rsidRDefault="007C003B" w:rsidP="00D446F3">
      <w:pPr>
        <w:pStyle w:val="Paragraphedeliste"/>
        <w:spacing w:after="0" w:line="240" w:lineRule="auto"/>
        <w:jc w:val="both"/>
        <w:rPr>
          <w:sz w:val="20"/>
          <w:szCs w:val="20"/>
        </w:rPr>
      </w:pPr>
    </w:p>
    <w:p w14:paraId="7437A8A5" w14:textId="77777777" w:rsidR="004027FC" w:rsidRPr="007B7FFA" w:rsidRDefault="00E405C8" w:rsidP="00E405C8">
      <w:pPr>
        <w:pStyle w:val="Paragraphedeliste"/>
        <w:spacing w:after="0" w:line="240" w:lineRule="auto"/>
        <w:jc w:val="both"/>
        <w:rPr>
          <w:b/>
          <w:bCs/>
          <w:sz w:val="20"/>
          <w:szCs w:val="20"/>
          <w:u w:val="single"/>
        </w:rPr>
      </w:pPr>
      <w:r w:rsidRPr="007B7FFA">
        <w:rPr>
          <w:b/>
          <w:bCs/>
          <w:sz w:val="20"/>
          <w:szCs w:val="20"/>
          <w:u w:val="single"/>
        </w:rPr>
        <w:t xml:space="preserve">1) </w:t>
      </w:r>
      <w:r w:rsidR="00DC7E22" w:rsidRPr="007B7FFA">
        <w:rPr>
          <w:b/>
          <w:bCs/>
          <w:sz w:val="20"/>
          <w:szCs w:val="20"/>
          <w:u w:val="single"/>
        </w:rPr>
        <w:t>Les a</w:t>
      </w:r>
      <w:r w:rsidR="004027FC" w:rsidRPr="007B7FFA">
        <w:rPr>
          <w:b/>
          <w:bCs/>
          <w:sz w:val="20"/>
          <w:szCs w:val="20"/>
          <w:u w:val="single"/>
        </w:rPr>
        <w:t>tténuations de charges (chapitre 013)</w:t>
      </w:r>
    </w:p>
    <w:p w14:paraId="164DAE84" w14:textId="7CAD59C1" w:rsidR="004027FC" w:rsidRPr="00EB27B3" w:rsidRDefault="004027FC" w:rsidP="00E6633E">
      <w:pPr>
        <w:ind w:right="707"/>
        <w:jc w:val="both"/>
        <w:rPr>
          <w:sz w:val="20"/>
          <w:szCs w:val="20"/>
        </w:rPr>
      </w:pPr>
      <w:r w:rsidRPr="00EB27B3">
        <w:rPr>
          <w:sz w:val="20"/>
          <w:szCs w:val="20"/>
        </w:rPr>
        <w:t>Il s’agit</w:t>
      </w:r>
      <w:r w:rsidR="00EB27B3" w:rsidRPr="00EB27B3">
        <w:rPr>
          <w:sz w:val="20"/>
          <w:szCs w:val="20"/>
        </w:rPr>
        <w:t xml:space="preserve"> </w:t>
      </w:r>
      <w:r w:rsidR="0051645F">
        <w:rPr>
          <w:sz w:val="20"/>
          <w:szCs w:val="20"/>
        </w:rPr>
        <w:t xml:space="preserve">en majorité du remboursement sur rémunération de personnel </w:t>
      </w:r>
      <w:r w:rsidRPr="00EB27B3">
        <w:rPr>
          <w:sz w:val="20"/>
          <w:szCs w:val="20"/>
        </w:rPr>
        <w:t xml:space="preserve">pour un montant de </w:t>
      </w:r>
      <w:r w:rsidR="00E6633E">
        <w:rPr>
          <w:sz w:val="20"/>
          <w:szCs w:val="20"/>
        </w:rPr>
        <w:t>112 012,31</w:t>
      </w:r>
      <w:r w:rsidR="0051645F" w:rsidRPr="0051645F">
        <w:rPr>
          <w:sz w:val="20"/>
          <w:szCs w:val="20"/>
        </w:rPr>
        <w:t xml:space="preserve"> </w:t>
      </w:r>
      <w:r w:rsidRPr="0051645F">
        <w:rPr>
          <w:sz w:val="20"/>
          <w:szCs w:val="20"/>
        </w:rPr>
        <w:t xml:space="preserve">€ </w:t>
      </w:r>
      <w:r w:rsidRPr="00EB27B3">
        <w:rPr>
          <w:sz w:val="20"/>
          <w:szCs w:val="20"/>
        </w:rPr>
        <w:t>en 202</w:t>
      </w:r>
      <w:r w:rsidR="00E6633E">
        <w:rPr>
          <w:sz w:val="20"/>
          <w:szCs w:val="20"/>
        </w:rPr>
        <w:t>3</w:t>
      </w:r>
      <w:r w:rsidRPr="00EB27B3">
        <w:rPr>
          <w:sz w:val="20"/>
          <w:szCs w:val="20"/>
        </w:rPr>
        <w:t>. Il était de</w:t>
      </w:r>
      <w:r w:rsidR="00E6633E">
        <w:rPr>
          <w:sz w:val="20"/>
          <w:szCs w:val="20"/>
        </w:rPr>
        <w:t xml:space="preserve"> </w:t>
      </w:r>
      <w:r w:rsidR="00E6633E" w:rsidRPr="0051645F">
        <w:rPr>
          <w:sz w:val="20"/>
          <w:szCs w:val="20"/>
        </w:rPr>
        <w:t xml:space="preserve">61 982,31 € </w:t>
      </w:r>
      <w:r w:rsidR="00E6633E" w:rsidRPr="00EB27B3">
        <w:rPr>
          <w:sz w:val="20"/>
          <w:szCs w:val="20"/>
        </w:rPr>
        <w:t>en 202</w:t>
      </w:r>
      <w:r w:rsidR="00E6633E">
        <w:rPr>
          <w:sz w:val="20"/>
          <w:szCs w:val="20"/>
        </w:rPr>
        <w:t>2</w:t>
      </w:r>
      <w:r w:rsidRPr="00EB27B3">
        <w:rPr>
          <w:sz w:val="20"/>
          <w:szCs w:val="20"/>
        </w:rPr>
        <w:t xml:space="preserve"> </w:t>
      </w:r>
      <w:r w:rsidR="00E6633E">
        <w:rPr>
          <w:sz w:val="20"/>
          <w:szCs w:val="20"/>
        </w:rPr>
        <w:t xml:space="preserve">et de </w:t>
      </w:r>
      <w:r w:rsidR="0051645F" w:rsidRPr="0051645F">
        <w:rPr>
          <w:sz w:val="20"/>
          <w:szCs w:val="20"/>
        </w:rPr>
        <w:t>137 164,81</w:t>
      </w:r>
      <w:r w:rsidR="00C36481" w:rsidRPr="0051645F">
        <w:rPr>
          <w:i/>
          <w:iCs/>
          <w:sz w:val="20"/>
          <w:szCs w:val="20"/>
        </w:rPr>
        <w:t xml:space="preserve"> </w:t>
      </w:r>
      <w:r w:rsidR="00323CA0" w:rsidRPr="00EB27B3">
        <w:rPr>
          <w:sz w:val="20"/>
          <w:szCs w:val="20"/>
        </w:rPr>
        <w:t xml:space="preserve">€ </w:t>
      </w:r>
      <w:r w:rsidRPr="00EB27B3">
        <w:rPr>
          <w:sz w:val="20"/>
          <w:szCs w:val="20"/>
        </w:rPr>
        <w:t>en 20</w:t>
      </w:r>
      <w:r w:rsidR="00EB27B3">
        <w:rPr>
          <w:sz w:val="20"/>
          <w:szCs w:val="20"/>
        </w:rPr>
        <w:t>2</w:t>
      </w:r>
      <w:r w:rsidR="001306BB">
        <w:rPr>
          <w:sz w:val="20"/>
          <w:szCs w:val="20"/>
        </w:rPr>
        <w:t>1</w:t>
      </w:r>
      <w:r w:rsidRPr="00EB27B3">
        <w:rPr>
          <w:sz w:val="20"/>
          <w:szCs w:val="20"/>
        </w:rPr>
        <w:t>.</w:t>
      </w:r>
    </w:p>
    <w:p w14:paraId="3D2CB912" w14:textId="77777777" w:rsidR="004027FC" w:rsidRPr="007B7FFA" w:rsidRDefault="00E405C8" w:rsidP="00323CA0">
      <w:pPr>
        <w:spacing w:after="0" w:line="240" w:lineRule="auto"/>
        <w:ind w:firstLine="708"/>
        <w:jc w:val="both"/>
        <w:rPr>
          <w:b/>
          <w:bCs/>
          <w:sz w:val="20"/>
          <w:szCs w:val="20"/>
          <w:u w:val="single"/>
        </w:rPr>
      </w:pPr>
      <w:r w:rsidRPr="007B7FFA">
        <w:rPr>
          <w:b/>
          <w:bCs/>
          <w:sz w:val="20"/>
          <w:szCs w:val="20"/>
          <w:u w:val="single"/>
        </w:rPr>
        <w:t xml:space="preserve">2) </w:t>
      </w:r>
      <w:r w:rsidR="00DC7E22" w:rsidRPr="007B7FFA">
        <w:rPr>
          <w:b/>
          <w:bCs/>
          <w:sz w:val="20"/>
          <w:szCs w:val="20"/>
          <w:u w:val="single"/>
        </w:rPr>
        <w:t>Les p</w:t>
      </w:r>
      <w:r w:rsidR="007C003B" w:rsidRPr="007B7FFA">
        <w:rPr>
          <w:b/>
          <w:bCs/>
          <w:sz w:val="20"/>
          <w:szCs w:val="20"/>
          <w:u w:val="single"/>
        </w:rPr>
        <w:t>roduits des services</w:t>
      </w:r>
      <w:r w:rsidR="00DC7E22" w:rsidRPr="007B7FFA">
        <w:rPr>
          <w:b/>
          <w:bCs/>
          <w:sz w:val="20"/>
          <w:szCs w:val="20"/>
          <w:u w:val="single"/>
        </w:rPr>
        <w:t xml:space="preserve"> et du patrimoine </w:t>
      </w:r>
      <w:r w:rsidR="007C003B" w:rsidRPr="007B7FFA">
        <w:rPr>
          <w:b/>
          <w:bCs/>
          <w:sz w:val="20"/>
          <w:szCs w:val="20"/>
          <w:u w:val="single"/>
        </w:rPr>
        <w:t>(</w:t>
      </w:r>
      <w:r w:rsidR="00D446F3" w:rsidRPr="007B7FFA">
        <w:rPr>
          <w:b/>
          <w:bCs/>
          <w:sz w:val="20"/>
          <w:szCs w:val="20"/>
          <w:u w:val="single"/>
        </w:rPr>
        <w:t>c</w:t>
      </w:r>
      <w:r w:rsidR="007C003B" w:rsidRPr="007B7FFA">
        <w:rPr>
          <w:b/>
          <w:bCs/>
          <w:sz w:val="20"/>
          <w:szCs w:val="20"/>
          <w:u w:val="single"/>
        </w:rPr>
        <w:t xml:space="preserve">hapitre 70) </w:t>
      </w:r>
    </w:p>
    <w:p w14:paraId="77C4CD70" w14:textId="77777777" w:rsidR="00323CA0" w:rsidRPr="007B7FFA" w:rsidRDefault="00323CA0" w:rsidP="00323CA0">
      <w:pPr>
        <w:spacing w:after="0" w:line="240" w:lineRule="auto"/>
        <w:jc w:val="both"/>
        <w:rPr>
          <w:sz w:val="20"/>
          <w:szCs w:val="20"/>
        </w:rPr>
      </w:pPr>
      <w:r w:rsidRPr="007B7FFA">
        <w:rPr>
          <w:sz w:val="20"/>
          <w:szCs w:val="20"/>
        </w:rPr>
        <w:t>Les produits proviennent principalement :</w:t>
      </w:r>
    </w:p>
    <w:p w14:paraId="540A4316" w14:textId="5B9DC4C4" w:rsidR="007025A6" w:rsidRPr="007B7FFA" w:rsidRDefault="009164EB" w:rsidP="00323CA0">
      <w:pPr>
        <w:pStyle w:val="Paragraphedeliste"/>
        <w:numPr>
          <w:ilvl w:val="0"/>
          <w:numId w:val="1"/>
        </w:numPr>
        <w:jc w:val="both"/>
        <w:rPr>
          <w:sz w:val="20"/>
          <w:szCs w:val="20"/>
        </w:rPr>
      </w:pPr>
      <w:r>
        <w:rPr>
          <w:sz w:val="20"/>
          <w:szCs w:val="20"/>
        </w:rPr>
        <w:t xml:space="preserve">De </w:t>
      </w:r>
      <w:r w:rsidR="00323CA0" w:rsidRPr="007B7FFA">
        <w:rPr>
          <w:sz w:val="20"/>
          <w:szCs w:val="20"/>
        </w:rPr>
        <w:t>l’occupation du domaine public</w:t>
      </w:r>
      <w:r w:rsidR="00C36481">
        <w:rPr>
          <w:sz w:val="20"/>
          <w:szCs w:val="20"/>
        </w:rPr>
        <w:t xml:space="preserve"> : </w:t>
      </w:r>
      <w:r w:rsidR="003F480C">
        <w:rPr>
          <w:sz w:val="20"/>
          <w:szCs w:val="20"/>
        </w:rPr>
        <w:t>180,00 €</w:t>
      </w:r>
    </w:p>
    <w:p w14:paraId="28BC9782" w14:textId="755E373B" w:rsidR="00323CA0" w:rsidRDefault="009164EB" w:rsidP="00323CA0">
      <w:pPr>
        <w:pStyle w:val="Paragraphedeliste"/>
        <w:numPr>
          <w:ilvl w:val="0"/>
          <w:numId w:val="1"/>
        </w:numPr>
        <w:jc w:val="both"/>
        <w:rPr>
          <w:sz w:val="20"/>
          <w:szCs w:val="20"/>
        </w:rPr>
      </w:pPr>
      <w:r>
        <w:rPr>
          <w:sz w:val="20"/>
          <w:szCs w:val="20"/>
        </w:rPr>
        <w:t>D</w:t>
      </w:r>
      <w:r w:rsidR="00323CA0" w:rsidRPr="007B7FFA">
        <w:rPr>
          <w:sz w:val="20"/>
          <w:szCs w:val="20"/>
        </w:rPr>
        <w:t>es ventes de concessions dans le cimetière</w:t>
      </w:r>
      <w:r w:rsidR="00C36481">
        <w:rPr>
          <w:sz w:val="20"/>
          <w:szCs w:val="20"/>
        </w:rPr>
        <w:t xml:space="preserve"> : </w:t>
      </w:r>
      <w:r w:rsidR="002D33BC">
        <w:rPr>
          <w:sz w:val="20"/>
          <w:szCs w:val="20"/>
        </w:rPr>
        <w:t>9</w:t>
      </w:r>
      <w:r w:rsidR="003F480C" w:rsidRPr="003F480C">
        <w:rPr>
          <w:sz w:val="20"/>
          <w:szCs w:val="20"/>
        </w:rPr>
        <w:t xml:space="preserve"> </w:t>
      </w:r>
      <w:r w:rsidR="002D33BC">
        <w:rPr>
          <w:sz w:val="20"/>
          <w:szCs w:val="20"/>
        </w:rPr>
        <w:t>667</w:t>
      </w:r>
      <w:r w:rsidR="003F480C" w:rsidRPr="003F480C">
        <w:rPr>
          <w:sz w:val="20"/>
          <w:szCs w:val="20"/>
        </w:rPr>
        <w:t xml:space="preserve"> €</w:t>
      </w:r>
    </w:p>
    <w:p w14:paraId="56313BF2" w14:textId="3F6D0796" w:rsidR="00C36481" w:rsidRDefault="003F480C" w:rsidP="00323CA0">
      <w:pPr>
        <w:pStyle w:val="Paragraphedeliste"/>
        <w:numPr>
          <w:ilvl w:val="0"/>
          <w:numId w:val="1"/>
        </w:numPr>
        <w:jc w:val="both"/>
        <w:rPr>
          <w:sz w:val="20"/>
          <w:szCs w:val="20"/>
        </w:rPr>
      </w:pPr>
      <w:r>
        <w:rPr>
          <w:sz w:val="20"/>
          <w:szCs w:val="20"/>
        </w:rPr>
        <w:t xml:space="preserve">Des redevances et droits des services périscolaires (cantine et garderie) : </w:t>
      </w:r>
      <w:r w:rsidR="002D33BC">
        <w:rPr>
          <w:sz w:val="20"/>
          <w:szCs w:val="20"/>
        </w:rPr>
        <w:t>71 502,60</w:t>
      </w:r>
      <w:r>
        <w:rPr>
          <w:sz w:val="20"/>
          <w:szCs w:val="20"/>
        </w:rPr>
        <w:t xml:space="preserve"> €</w:t>
      </w:r>
    </w:p>
    <w:p w14:paraId="63E3BFDB" w14:textId="7D5E49BF" w:rsidR="003F480C" w:rsidRDefault="00F8620E" w:rsidP="00323CA0">
      <w:pPr>
        <w:pStyle w:val="Paragraphedeliste"/>
        <w:numPr>
          <w:ilvl w:val="0"/>
          <w:numId w:val="1"/>
        </w:numPr>
        <w:jc w:val="both"/>
        <w:rPr>
          <w:sz w:val="20"/>
          <w:szCs w:val="20"/>
        </w:rPr>
      </w:pPr>
      <w:r>
        <w:rPr>
          <w:sz w:val="20"/>
          <w:szCs w:val="20"/>
        </w:rPr>
        <w:t xml:space="preserve">Des </w:t>
      </w:r>
      <w:r w:rsidR="00211B9B">
        <w:rPr>
          <w:sz w:val="20"/>
          <w:szCs w:val="20"/>
        </w:rPr>
        <w:t>redevances et participations diverses</w:t>
      </w:r>
      <w:r>
        <w:rPr>
          <w:sz w:val="20"/>
          <w:szCs w:val="20"/>
        </w:rPr>
        <w:t xml:space="preserve"> : </w:t>
      </w:r>
      <w:r w:rsidR="004A2261">
        <w:rPr>
          <w:sz w:val="20"/>
          <w:szCs w:val="20"/>
        </w:rPr>
        <w:t xml:space="preserve">6 </w:t>
      </w:r>
      <w:r w:rsidR="00211B9B">
        <w:rPr>
          <w:sz w:val="20"/>
          <w:szCs w:val="20"/>
        </w:rPr>
        <w:t>563</w:t>
      </w:r>
      <w:r w:rsidR="004A2261">
        <w:rPr>
          <w:sz w:val="20"/>
          <w:szCs w:val="20"/>
        </w:rPr>
        <w:t>,</w:t>
      </w:r>
      <w:r w:rsidR="00211B9B">
        <w:rPr>
          <w:sz w:val="20"/>
          <w:szCs w:val="20"/>
        </w:rPr>
        <w:t>80</w:t>
      </w:r>
      <w:r>
        <w:rPr>
          <w:sz w:val="20"/>
          <w:szCs w:val="20"/>
        </w:rPr>
        <w:t xml:space="preserve"> €</w:t>
      </w:r>
    </w:p>
    <w:p w14:paraId="0906B8B5" w14:textId="142E28C1" w:rsidR="001714DE" w:rsidRDefault="001714DE" w:rsidP="00323CA0">
      <w:pPr>
        <w:pStyle w:val="Paragraphedeliste"/>
        <w:numPr>
          <w:ilvl w:val="0"/>
          <w:numId w:val="1"/>
        </w:numPr>
        <w:jc w:val="both"/>
        <w:rPr>
          <w:sz w:val="20"/>
          <w:szCs w:val="20"/>
        </w:rPr>
      </w:pPr>
      <w:r>
        <w:rPr>
          <w:sz w:val="20"/>
          <w:szCs w:val="20"/>
        </w:rPr>
        <w:t>Des remboursements de charges : 12 495,44 €</w:t>
      </w:r>
    </w:p>
    <w:p w14:paraId="4CAC125C" w14:textId="56C99387" w:rsidR="006C1E67" w:rsidRPr="003F480C" w:rsidRDefault="006C1E67" w:rsidP="00323CA0">
      <w:pPr>
        <w:pStyle w:val="Paragraphedeliste"/>
        <w:numPr>
          <w:ilvl w:val="0"/>
          <w:numId w:val="1"/>
        </w:numPr>
        <w:jc w:val="both"/>
        <w:rPr>
          <w:sz w:val="20"/>
          <w:szCs w:val="20"/>
        </w:rPr>
      </w:pPr>
      <w:r>
        <w:rPr>
          <w:sz w:val="20"/>
          <w:szCs w:val="20"/>
        </w:rPr>
        <w:t>De</w:t>
      </w:r>
      <w:r w:rsidR="00913A2F">
        <w:rPr>
          <w:sz w:val="20"/>
          <w:szCs w:val="20"/>
        </w:rPr>
        <w:t>s</w:t>
      </w:r>
      <w:r>
        <w:rPr>
          <w:sz w:val="20"/>
          <w:szCs w:val="20"/>
        </w:rPr>
        <w:t xml:space="preserve"> remboursement</w:t>
      </w:r>
      <w:r w:rsidR="00913A2F">
        <w:rPr>
          <w:sz w:val="20"/>
          <w:szCs w:val="20"/>
        </w:rPr>
        <w:t>s</w:t>
      </w:r>
      <w:r>
        <w:rPr>
          <w:sz w:val="20"/>
          <w:szCs w:val="20"/>
        </w:rPr>
        <w:t xml:space="preserve"> de frais de fonctionnement p</w:t>
      </w:r>
      <w:r w:rsidR="00E4318F">
        <w:rPr>
          <w:sz w:val="20"/>
          <w:szCs w:val="20"/>
        </w:rPr>
        <w:t>our</w:t>
      </w:r>
      <w:r>
        <w:rPr>
          <w:sz w:val="20"/>
          <w:szCs w:val="20"/>
        </w:rPr>
        <w:t xml:space="preserve"> le CRD</w:t>
      </w:r>
      <w:r w:rsidR="00E4318F">
        <w:rPr>
          <w:sz w:val="20"/>
          <w:szCs w:val="20"/>
        </w:rPr>
        <w:t xml:space="preserve"> et le COSEC</w:t>
      </w:r>
      <w:r>
        <w:rPr>
          <w:sz w:val="20"/>
          <w:szCs w:val="20"/>
        </w:rPr>
        <w:t xml:space="preserve"> : </w:t>
      </w:r>
      <w:r w:rsidR="002D33BC">
        <w:rPr>
          <w:sz w:val="20"/>
          <w:szCs w:val="20"/>
        </w:rPr>
        <w:t>22 194,77</w:t>
      </w:r>
      <w:r>
        <w:rPr>
          <w:sz w:val="20"/>
          <w:szCs w:val="20"/>
        </w:rPr>
        <w:t xml:space="preserve"> €</w:t>
      </w:r>
    </w:p>
    <w:p w14:paraId="59109BF2" w14:textId="7064C24E" w:rsidR="007B7FFA" w:rsidRDefault="009F2305" w:rsidP="009F2305">
      <w:pPr>
        <w:pStyle w:val="Paragraphedeliste"/>
        <w:ind w:left="0"/>
        <w:jc w:val="both"/>
        <w:rPr>
          <w:sz w:val="20"/>
          <w:szCs w:val="20"/>
        </w:rPr>
      </w:pPr>
      <w:r w:rsidRPr="009F2305">
        <w:rPr>
          <w:sz w:val="20"/>
          <w:szCs w:val="20"/>
        </w:rPr>
        <w:t xml:space="preserve">Pour un montant total de </w:t>
      </w:r>
      <w:r>
        <w:rPr>
          <w:sz w:val="20"/>
          <w:szCs w:val="20"/>
        </w:rPr>
        <w:t>122 603,61 €.</w:t>
      </w:r>
    </w:p>
    <w:p w14:paraId="7108D68E" w14:textId="77777777" w:rsidR="009F2305" w:rsidRDefault="009F2305" w:rsidP="009F2305">
      <w:pPr>
        <w:pStyle w:val="Paragraphedeliste"/>
        <w:ind w:left="0"/>
        <w:jc w:val="both"/>
        <w:rPr>
          <w:sz w:val="20"/>
          <w:szCs w:val="20"/>
        </w:rPr>
      </w:pPr>
    </w:p>
    <w:p w14:paraId="79CF8DE4" w14:textId="77777777" w:rsidR="009F2305" w:rsidRDefault="009F2305" w:rsidP="009F2305">
      <w:pPr>
        <w:pStyle w:val="Paragraphedeliste"/>
        <w:ind w:left="0"/>
        <w:jc w:val="both"/>
        <w:rPr>
          <w:sz w:val="20"/>
          <w:szCs w:val="20"/>
        </w:rPr>
      </w:pPr>
    </w:p>
    <w:p w14:paraId="1D66617C" w14:textId="77777777" w:rsidR="009F617E" w:rsidRDefault="009F617E" w:rsidP="003A757D">
      <w:pPr>
        <w:pStyle w:val="Paragraphedeliste"/>
        <w:spacing w:after="0" w:line="240" w:lineRule="auto"/>
        <w:jc w:val="both"/>
        <w:rPr>
          <w:b/>
          <w:bCs/>
          <w:sz w:val="20"/>
          <w:szCs w:val="20"/>
          <w:u w:val="single"/>
        </w:rPr>
      </w:pPr>
    </w:p>
    <w:p w14:paraId="0B2C8030" w14:textId="0CBBD851" w:rsidR="00B03EA0" w:rsidRPr="007B7FFA" w:rsidRDefault="00E405C8" w:rsidP="003A757D">
      <w:pPr>
        <w:pStyle w:val="Paragraphedeliste"/>
        <w:spacing w:after="0" w:line="240" w:lineRule="auto"/>
        <w:jc w:val="both"/>
        <w:rPr>
          <w:b/>
          <w:bCs/>
          <w:sz w:val="20"/>
          <w:szCs w:val="20"/>
        </w:rPr>
      </w:pPr>
      <w:r w:rsidRPr="007B7FFA">
        <w:rPr>
          <w:b/>
          <w:bCs/>
          <w:sz w:val="20"/>
          <w:szCs w:val="20"/>
          <w:u w:val="single"/>
        </w:rPr>
        <w:t xml:space="preserve">3) </w:t>
      </w:r>
      <w:r w:rsidR="00DC7E22" w:rsidRPr="007B7FFA">
        <w:rPr>
          <w:b/>
          <w:bCs/>
          <w:sz w:val="20"/>
          <w:szCs w:val="20"/>
          <w:u w:val="single"/>
        </w:rPr>
        <w:t xml:space="preserve">Les impôts et taxes (chapitre 73) </w:t>
      </w:r>
    </w:p>
    <w:p w14:paraId="453E5E3F" w14:textId="77777777" w:rsidR="00B03EA0" w:rsidRPr="007B7FFA" w:rsidRDefault="00425A8B" w:rsidP="00B03EA0">
      <w:pPr>
        <w:spacing w:after="0" w:line="240" w:lineRule="auto"/>
        <w:jc w:val="both"/>
        <w:rPr>
          <w:b/>
          <w:bCs/>
          <w:sz w:val="20"/>
          <w:szCs w:val="20"/>
        </w:rPr>
      </w:pPr>
      <w:r w:rsidRPr="007B7FFA">
        <w:rPr>
          <w:b/>
          <w:bCs/>
          <w:sz w:val="20"/>
          <w:szCs w:val="20"/>
        </w:rPr>
        <w:t>Les taux</w:t>
      </w:r>
      <w:r w:rsidR="00B03EA0" w:rsidRPr="007B7FFA">
        <w:rPr>
          <w:b/>
          <w:bCs/>
          <w:sz w:val="20"/>
          <w:szCs w:val="20"/>
        </w:rPr>
        <w:t xml:space="preserve"> </w:t>
      </w:r>
      <w:r w:rsidR="00E405C8" w:rsidRPr="007B7FFA">
        <w:rPr>
          <w:b/>
          <w:bCs/>
          <w:sz w:val="20"/>
          <w:szCs w:val="20"/>
        </w:rPr>
        <w:t xml:space="preserve">d’imposition communaux </w:t>
      </w:r>
      <w:r w:rsidR="00B03EA0" w:rsidRPr="007B7FFA">
        <w:rPr>
          <w:b/>
          <w:bCs/>
          <w:sz w:val="20"/>
          <w:szCs w:val="20"/>
        </w:rPr>
        <w:t xml:space="preserve">sont </w:t>
      </w:r>
      <w:r w:rsidRPr="007B7FFA">
        <w:rPr>
          <w:b/>
          <w:bCs/>
          <w:sz w:val="20"/>
          <w:szCs w:val="20"/>
        </w:rPr>
        <w:t xml:space="preserve">: </w:t>
      </w:r>
    </w:p>
    <w:p w14:paraId="04B26232" w14:textId="30A78B03" w:rsidR="00B03EA0" w:rsidRPr="007B7FFA" w:rsidRDefault="00425A8B" w:rsidP="00B03EA0">
      <w:pPr>
        <w:spacing w:after="0" w:line="240" w:lineRule="auto"/>
        <w:jc w:val="both"/>
        <w:rPr>
          <w:sz w:val="20"/>
          <w:szCs w:val="20"/>
        </w:rPr>
      </w:pPr>
      <w:r w:rsidRPr="007B7FFA">
        <w:rPr>
          <w:sz w:val="20"/>
          <w:szCs w:val="20"/>
        </w:rPr>
        <w:t xml:space="preserve">Taxe sur le </w:t>
      </w:r>
      <w:r w:rsidR="00E405C8" w:rsidRPr="007B7FFA">
        <w:rPr>
          <w:sz w:val="20"/>
          <w:szCs w:val="20"/>
        </w:rPr>
        <w:t>f</w:t>
      </w:r>
      <w:r w:rsidRPr="007B7FFA">
        <w:rPr>
          <w:sz w:val="20"/>
          <w:szCs w:val="20"/>
        </w:rPr>
        <w:t xml:space="preserve">oncier </w:t>
      </w:r>
      <w:r w:rsidR="00E405C8" w:rsidRPr="007B7FFA">
        <w:rPr>
          <w:sz w:val="20"/>
          <w:szCs w:val="20"/>
        </w:rPr>
        <w:t>b</w:t>
      </w:r>
      <w:r w:rsidRPr="007B7FFA">
        <w:rPr>
          <w:sz w:val="20"/>
          <w:szCs w:val="20"/>
        </w:rPr>
        <w:t xml:space="preserve">âti </w:t>
      </w:r>
      <w:r w:rsidRPr="00352370">
        <w:rPr>
          <w:sz w:val="20"/>
          <w:szCs w:val="20"/>
        </w:rPr>
        <w:t xml:space="preserve">: </w:t>
      </w:r>
      <w:r w:rsidR="00352370" w:rsidRPr="00352370">
        <w:rPr>
          <w:sz w:val="20"/>
          <w:szCs w:val="20"/>
        </w:rPr>
        <w:t xml:space="preserve"> 41,08 </w:t>
      </w:r>
      <w:r w:rsidRPr="00352370">
        <w:rPr>
          <w:sz w:val="20"/>
          <w:szCs w:val="20"/>
        </w:rPr>
        <w:t>%</w:t>
      </w:r>
    </w:p>
    <w:p w14:paraId="4A6DBA55" w14:textId="5FEF307B" w:rsidR="00425A8B" w:rsidRDefault="00425A8B" w:rsidP="00B03EA0">
      <w:pPr>
        <w:spacing w:after="0" w:line="240" w:lineRule="auto"/>
        <w:jc w:val="both"/>
        <w:rPr>
          <w:sz w:val="20"/>
          <w:szCs w:val="20"/>
        </w:rPr>
      </w:pPr>
      <w:r w:rsidRPr="007B7FFA">
        <w:rPr>
          <w:sz w:val="20"/>
          <w:szCs w:val="20"/>
        </w:rPr>
        <w:t xml:space="preserve">Taxe sur le </w:t>
      </w:r>
      <w:r w:rsidR="00E405C8" w:rsidRPr="007B7FFA">
        <w:rPr>
          <w:sz w:val="20"/>
          <w:szCs w:val="20"/>
        </w:rPr>
        <w:t>f</w:t>
      </w:r>
      <w:r w:rsidRPr="007B7FFA">
        <w:rPr>
          <w:sz w:val="20"/>
          <w:szCs w:val="20"/>
        </w:rPr>
        <w:t xml:space="preserve">oncier </w:t>
      </w:r>
      <w:r w:rsidR="00E405C8" w:rsidRPr="007B7FFA">
        <w:rPr>
          <w:sz w:val="20"/>
          <w:szCs w:val="20"/>
        </w:rPr>
        <w:t>n</w:t>
      </w:r>
      <w:r w:rsidRPr="007B7FFA">
        <w:rPr>
          <w:sz w:val="20"/>
          <w:szCs w:val="20"/>
        </w:rPr>
        <w:t xml:space="preserve">on bâti </w:t>
      </w:r>
      <w:r w:rsidR="00352370">
        <w:rPr>
          <w:sz w:val="20"/>
          <w:szCs w:val="20"/>
        </w:rPr>
        <w:t>59,34 %</w:t>
      </w:r>
    </w:p>
    <w:p w14:paraId="579AEE1D" w14:textId="02310189" w:rsidR="00352370" w:rsidRDefault="00352370" w:rsidP="00B03EA0">
      <w:pPr>
        <w:spacing w:after="0" w:line="240" w:lineRule="auto"/>
        <w:jc w:val="both"/>
        <w:rPr>
          <w:sz w:val="20"/>
          <w:szCs w:val="20"/>
        </w:rPr>
      </w:pPr>
      <w:r>
        <w:rPr>
          <w:sz w:val="20"/>
          <w:szCs w:val="20"/>
        </w:rPr>
        <w:t xml:space="preserve">Taxe d'habitation </w:t>
      </w:r>
      <w:r w:rsidR="00301AE2">
        <w:rPr>
          <w:sz w:val="20"/>
          <w:szCs w:val="20"/>
        </w:rPr>
        <w:t>sur les</w:t>
      </w:r>
      <w:r>
        <w:rPr>
          <w:sz w:val="20"/>
          <w:szCs w:val="20"/>
        </w:rPr>
        <w:t xml:space="preserve"> résidences secondaires et logements vacants : 19,07 %</w:t>
      </w:r>
    </w:p>
    <w:p w14:paraId="09E79B14" w14:textId="77777777" w:rsidR="00301AE2" w:rsidRPr="007B7FFA" w:rsidRDefault="00301AE2" w:rsidP="00B03EA0">
      <w:pPr>
        <w:spacing w:after="0" w:line="240" w:lineRule="auto"/>
        <w:jc w:val="both"/>
        <w:rPr>
          <w:sz w:val="20"/>
          <w:szCs w:val="20"/>
        </w:rPr>
      </w:pPr>
    </w:p>
    <w:p w14:paraId="1FB9F71E" w14:textId="35682CD9" w:rsidR="00DC7E22" w:rsidRPr="007B7FFA" w:rsidRDefault="00125B33" w:rsidP="00B03EA0">
      <w:pPr>
        <w:spacing w:after="0"/>
        <w:jc w:val="both"/>
        <w:rPr>
          <w:sz w:val="20"/>
          <w:szCs w:val="20"/>
        </w:rPr>
      </w:pPr>
      <w:r w:rsidRPr="00125B33">
        <w:rPr>
          <w:sz w:val="20"/>
          <w:szCs w:val="20"/>
        </w:rPr>
        <w:t>La variation</w:t>
      </w:r>
      <w:r w:rsidR="00B03EA0" w:rsidRPr="00125B33">
        <w:rPr>
          <w:sz w:val="20"/>
          <w:szCs w:val="20"/>
        </w:rPr>
        <w:t xml:space="preserve"> du produit de la fiscalité est liée, d’une part, à la revalorisation de la base fiscale via un coefficient d’actualisation</w:t>
      </w:r>
      <w:r w:rsidR="00CE2FEE" w:rsidRPr="00125B33">
        <w:rPr>
          <w:sz w:val="20"/>
          <w:szCs w:val="20"/>
        </w:rPr>
        <w:t xml:space="preserve"> calculé par l’administration fiscale</w:t>
      </w:r>
      <w:r w:rsidR="00B03EA0" w:rsidRPr="00125B33">
        <w:rPr>
          <w:sz w:val="20"/>
          <w:szCs w:val="20"/>
        </w:rPr>
        <w:t>, en</w:t>
      </w:r>
      <w:r w:rsidR="00CE2FEE" w:rsidRPr="00125B33">
        <w:rPr>
          <w:sz w:val="20"/>
          <w:szCs w:val="20"/>
        </w:rPr>
        <w:t xml:space="preserve"> fonction de l’inflation</w:t>
      </w:r>
      <w:r w:rsidR="00B03EA0" w:rsidRPr="00125B33">
        <w:rPr>
          <w:sz w:val="20"/>
          <w:szCs w:val="20"/>
        </w:rPr>
        <w:t>, pour l’ensemble du territoire national,</w:t>
      </w:r>
      <w:r w:rsidRPr="00125B33">
        <w:rPr>
          <w:sz w:val="20"/>
          <w:szCs w:val="20"/>
        </w:rPr>
        <w:t xml:space="preserve"> de 7 % environ pour 2023,</w:t>
      </w:r>
      <w:r w:rsidR="00B03EA0" w:rsidRPr="00125B33">
        <w:rPr>
          <w:sz w:val="20"/>
          <w:szCs w:val="20"/>
        </w:rPr>
        <w:t xml:space="preserve"> </w:t>
      </w:r>
      <w:r w:rsidRPr="00125B33">
        <w:rPr>
          <w:sz w:val="20"/>
          <w:szCs w:val="20"/>
        </w:rPr>
        <w:t xml:space="preserve">et </w:t>
      </w:r>
      <w:r w:rsidR="00B03EA0" w:rsidRPr="00125B33">
        <w:rPr>
          <w:sz w:val="20"/>
          <w:szCs w:val="20"/>
        </w:rPr>
        <w:t>d’autre part</w:t>
      </w:r>
      <w:r w:rsidRPr="00125B33">
        <w:rPr>
          <w:sz w:val="20"/>
          <w:szCs w:val="20"/>
        </w:rPr>
        <w:t xml:space="preserve"> </w:t>
      </w:r>
      <w:r w:rsidR="00B03EA0" w:rsidRPr="00125B33">
        <w:rPr>
          <w:sz w:val="20"/>
          <w:szCs w:val="20"/>
        </w:rPr>
        <w:t xml:space="preserve">à la construction de nouvelles habitations. </w:t>
      </w:r>
    </w:p>
    <w:p w14:paraId="7A754BCB" w14:textId="00E9B1B2" w:rsidR="009673CE" w:rsidRDefault="009673CE" w:rsidP="00B03EA0">
      <w:pPr>
        <w:spacing w:after="0"/>
        <w:jc w:val="both"/>
        <w:rPr>
          <w:sz w:val="20"/>
          <w:szCs w:val="20"/>
        </w:rPr>
      </w:pPr>
    </w:p>
    <w:tbl>
      <w:tblPr>
        <w:tblStyle w:val="Grilledutableau"/>
        <w:tblW w:w="9809" w:type="dxa"/>
        <w:jc w:val="center"/>
        <w:tblLook w:val="04A0" w:firstRow="1" w:lastRow="0" w:firstColumn="1" w:lastColumn="0" w:noHBand="0" w:noVBand="1"/>
      </w:tblPr>
      <w:tblGrid>
        <w:gridCol w:w="3572"/>
        <w:gridCol w:w="2268"/>
        <w:gridCol w:w="2126"/>
        <w:gridCol w:w="1843"/>
      </w:tblGrid>
      <w:tr w:rsidR="005F6FB7" w:rsidRPr="007B7FFA" w14:paraId="0730CF0B" w14:textId="77777777" w:rsidTr="003051BE">
        <w:trPr>
          <w:trHeight w:val="283"/>
          <w:jc w:val="center"/>
        </w:trPr>
        <w:tc>
          <w:tcPr>
            <w:tcW w:w="3572" w:type="dxa"/>
            <w:shd w:val="pct5" w:color="auto" w:fill="auto"/>
            <w:vAlign w:val="center"/>
          </w:tcPr>
          <w:p w14:paraId="7C4F4018" w14:textId="77777777" w:rsidR="005F6FB7" w:rsidRPr="007B7FFA" w:rsidRDefault="005F6FB7" w:rsidP="005F6FB7">
            <w:pPr>
              <w:jc w:val="center"/>
              <w:rPr>
                <w:sz w:val="20"/>
                <w:szCs w:val="20"/>
              </w:rPr>
            </w:pPr>
          </w:p>
        </w:tc>
        <w:tc>
          <w:tcPr>
            <w:tcW w:w="2268" w:type="dxa"/>
            <w:shd w:val="pct5" w:color="auto" w:fill="auto"/>
            <w:vAlign w:val="center"/>
          </w:tcPr>
          <w:p w14:paraId="075AD1E2" w14:textId="150DFCD9" w:rsidR="005F6FB7" w:rsidRPr="007B7FFA" w:rsidRDefault="005F6FB7" w:rsidP="005F6FB7">
            <w:pPr>
              <w:jc w:val="center"/>
              <w:rPr>
                <w:sz w:val="20"/>
                <w:szCs w:val="20"/>
              </w:rPr>
            </w:pPr>
            <w:r w:rsidRPr="007B7FFA">
              <w:rPr>
                <w:sz w:val="20"/>
                <w:szCs w:val="20"/>
              </w:rPr>
              <w:t>CA 20</w:t>
            </w:r>
            <w:r>
              <w:rPr>
                <w:sz w:val="20"/>
                <w:szCs w:val="20"/>
              </w:rPr>
              <w:t>21</w:t>
            </w:r>
          </w:p>
        </w:tc>
        <w:tc>
          <w:tcPr>
            <w:tcW w:w="2126" w:type="dxa"/>
            <w:shd w:val="pct5" w:color="auto" w:fill="auto"/>
            <w:vAlign w:val="center"/>
          </w:tcPr>
          <w:p w14:paraId="423273A3" w14:textId="393F54D5" w:rsidR="005F6FB7" w:rsidRPr="007B7FFA" w:rsidRDefault="005F6FB7" w:rsidP="005F6FB7">
            <w:pPr>
              <w:jc w:val="center"/>
              <w:rPr>
                <w:sz w:val="20"/>
                <w:szCs w:val="20"/>
              </w:rPr>
            </w:pPr>
            <w:r w:rsidRPr="007B7FFA">
              <w:rPr>
                <w:sz w:val="20"/>
                <w:szCs w:val="20"/>
              </w:rPr>
              <w:t>CA 202</w:t>
            </w:r>
            <w:r>
              <w:rPr>
                <w:sz w:val="20"/>
                <w:szCs w:val="20"/>
              </w:rPr>
              <w:t>2</w:t>
            </w:r>
          </w:p>
        </w:tc>
        <w:tc>
          <w:tcPr>
            <w:tcW w:w="1843" w:type="dxa"/>
            <w:shd w:val="pct5" w:color="auto" w:fill="auto"/>
            <w:vAlign w:val="center"/>
          </w:tcPr>
          <w:p w14:paraId="248B1852" w14:textId="410B6335" w:rsidR="005F6FB7" w:rsidRPr="007B7FFA" w:rsidRDefault="005F6FB7" w:rsidP="005F6FB7">
            <w:pPr>
              <w:jc w:val="center"/>
              <w:rPr>
                <w:sz w:val="20"/>
                <w:szCs w:val="20"/>
              </w:rPr>
            </w:pPr>
            <w:r w:rsidRPr="007B7FFA">
              <w:rPr>
                <w:sz w:val="20"/>
                <w:szCs w:val="20"/>
              </w:rPr>
              <w:t>CA 202</w:t>
            </w:r>
            <w:r>
              <w:rPr>
                <w:sz w:val="20"/>
                <w:szCs w:val="20"/>
              </w:rPr>
              <w:t>3</w:t>
            </w:r>
          </w:p>
        </w:tc>
      </w:tr>
      <w:tr w:rsidR="005F6FB7" w:rsidRPr="007B7FFA" w14:paraId="7A7A06A9" w14:textId="77777777" w:rsidTr="003051BE">
        <w:trPr>
          <w:trHeight w:val="283"/>
          <w:jc w:val="center"/>
        </w:trPr>
        <w:tc>
          <w:tcPr>
            <w:tcW w:w="3572" w:type="dxa"/>
            <w:vAlign w:val="center"/>
          </w:tcPr>
          <w:p w14:paraId="768396E2" w14:textId="77A7F34B" w:rsidR="005F6FB7" w:rsidRPr="007B7FFA" w:rsidRDefault="005F6FB7" w:rsidP="005F6FB7">
            <w:pPr>
              <w:rPr>
                <w:b/>
                <w:bCs/>
                <w:sz w:val="20"/>
                <w:szCs w:val="20"/>
              </w:rPr>
            </w:pPr>
            <w:r w:rsidRPr="007B7FFA">
              <w:rPr>
                <w:b/>
                <w:bCs/>
                <w:sz w:val="20"/>
                <w:szCs w:val="20"/>
              </w:rPr>
              <w:t>73111 – Taxes foncières et d’habitation</w:t>
            </w:r>
          </w:p>
        </w:tc>
        <w:tc>
          <w:tcPr>
            <w:tcW w:w="2268" w:type="dxa"/>
            <w:vAlign w:val="center"/>
          </w:tcPr>
          <w:p w14:paraId="31405DA7" w14:textId="32CC0120" w:rsidR="005F6FB7" w:rsidRPr="00DC3888" w:rsidRDefault="005F6FB7" w:rsidP="005F6FB7">
            <w:pPr>
              <w:jc w:val="center"/>
              <w:rPr>
                <w:sz w:val="20"/>
                <w:szCs w:val="20"/>
              </w:rPr>
            </w:pPr>
            <w:r w:rsidRPr="00DC3888">
              <w:rPr>
                <w:sz w:val="20"/>
                <w:szCs w:val="20"/>
              </w:rPr>
              <w:t>1</w:t>
            </w:r>
            <w:r>
              <w:rPr>
                <w:sz w:val="20"/>
                <w:szCs w:val="20"/>
              </w:rPr>
              <w:t xml:space="preserve"> </w:t>
            </w:r>
            <w:r w:rsidRPr="00DC3888">
              <w:rPr>
                <w:sz w:val="20"/>
                <w:szCs w:val="20"/>
              </w:rPr>
              <w:t>096</w:t>
            </w:r>
            <w:r>
              <w:rPr>
                <w:sz w:val="20"/>
                <w:szCs w:val="20"/>
              </w:rPr>
              <w:t xml:space="preserve"> </w:t>
            </w:r>
            <w:r w:rsidRPr="00DC3888">
              <w:rPr>
                <w:sz w:val="20"/>
                <w:szCs w:val="20"/>
              </w:rPr>
              <w:t>169 €</w:t>
            </w:r>
          </w:p>
        </w:tc>
        <w:tc>
          <w:tcPr>
            <w:tcW w:w="2126" w:type="dxa"/>
            <w:vAlign w:val="center"/>
          </w:tcPr>
          <w:p w14:paraId="0D55ABC2" w14:textId="7B6B6805" w:rsidR="005F6FB7" w:rsidRPr="00DC3888" w:rsidRDefault="005F6FB7" w:rsidP="005F6FB7">
            <w:pPr>
              <w:jc w:val="center"/>
              <w:rPr>
                <w:sz w:val="20"/>
                <w:szCs w:val="20"/>
              </w:rPr>
            </w:pPr>
            <w:r w:rsidRPr="00DC3888">
              <w:rPr>
                <w:sz w:val="20"/>
                <w:szCs w:val="20"/>
              </w:rPr>
              <w:t xml:space="preserve">1 142 </w:t>
            </w:r>
            <w:r>
              <w:rPr>
                <w:sz w:val="20"/>
                <w:szCs w:val="20"/>
              </w:rPr>
              <w:t>373</w:t>
            </w:r>
            <w:r w:rsidRPr="00DC3888">
              <w:rPr>
                <w:sz w:val="20"/>
                <w:szCs w:val="20"/>
              </w:rPr>
              <w:t xml:space="preserve"> €</w:t>
            </w:r>
          </w:p>
        </w:tc>
        <w:tc>
          <w:tcPr>
            <w:tcW w:w="1843" w:type="dxa"/>
            <w:vAlign w:val="center"/>
          </w:tcPr>
          <w:p w14:paraId="2AAAEE05" w14:textId="0B650A88" w:rsidR="005F6FB7" w:rsidRPr="00DC3888" w:rsidRDefault="005F6FB7" w:rsidP="005F6FB7">
            <w:pPr>
              <w:jc w:val="center"/>
              <w:rPr>
                <w:sz w:val="20"/>
                <w:szCs w:val="20"/>
              </w:rPr>
            </w:pPr>
            <w:r w:rsidRPr="00DC3888">
              <w:rPr>
                <w:sz w:val="20"/>
                <w:szCs w:val="20"/>
              </w:rPr>
              <w:t xml:space="preserve">1 </w:t>
            </w:r>
            <w:r>
              <w:rPr>
                <w:sz w:val="20"/>
                <w:szCs w:val="20"/>
              </w:rPr>
              <w:t>226</w:t>
            </w:r>
            <w:r w:rsidRPr="00DC3888">
              <w:rPr>
                <w:sz w:val="20"/>
                <w:szCs w:val="20"/>
              </w:rPr>
              <w:t xml:space="preserve"> </w:t>
            </w:r>
            <w:r w:rsidR="007D3B85">
              <w:rPr>
                <w:sz w:val="20"/>
                <w:szCs w:val="20"/>
              </w:rPr>
              <w:t>716</w:t>
            </w:r>
            <w:r w:rsidRPr="00DC3888">
              <w:rPr>
                <w:sz w:val="20"/>
                <w:szCs w:val="20"/>
              </w:rPr>
              <w:t xml:space="preserve"> €</w:t>
            </w:r>
          </w:p>
        </w:tc>
      </w:tr>
      <w:tr w:rsidR="00A0517D" w:rsidRPr="007B7FFA" w14:paraId="46B5172B" w14:textId="77777777" w:rsidTr="003051BE">
        <w:trPr>
          <w:trHeight w:val="283"/>
          <w:jc w:val="center"/>
        </w:trPr>
        <w:tc>
          <w:tcPr>
            <w:tcW w:w="3572" w:type="dxa"/>
            <w:vAlign w:val="center"/>
          </w:tcPr>
          <w:p w14:paraId="365E8139" w14:textId="77777777" w:rsidR="00A0517D" w:rsidRPr="007B7FFA" w:rsidRDefault="00A0517D" w:rsidP="00737849">
            <w:pPr>
              <w:rPr>
                <w:sz w:val="20"/>
                <w:szCs w:val="20"/>
              </w:rPr>
            </w:pPr>
            <w:r w:rsidRPr="007B7FFA">
              <w:rPr>
                <w:sz w:val="20"/>
                <w:szCs w:val="20"/>
              </w:rPr>
              <w:t>Variation en pourcentage</w:t>
            </w:r>
          </w:p>
        </w:tc>
        <w:tc>
          <w:tcPr>
            <w:tcW w:w="2268" w:type="dxa"/>
            <w:shd w:val="clear" w:color="auto" w:fill="D0CECE" w:themeFill="background2" w:themeFillShade="E6"/>
            <w:vAlign w:val="center"/>
          </w:tcPr>
          <w:p w14:paraId="62903D0C" w14:textId="77777777" w:rsidR="00A0517D" w:rsidRPr="00E33026" w:rsidRDefault="00A0517D" w:rsidP="00737849">
            <w:pPr>
              <w:jc w:val="center"/>
              <w:rPr>
                <w:sz w:val="20"/>
                <w:szCs w:val="20"/>
              </w:rPr>
            </w:pPr>
          </w:p>
        </w:tc>
        <w:tc>
          <w:tcPr>
            <w:tcW w:w="2126" w:type="dxa"/>
            <w:vAlign w:val="center"/>
          </w:tcPr>
          <w:p w14:paraId="5282F14A" w14:textId="02E9EAE9" w:rsidR="00A0517D" w:rsidRPr="00E33026" w:rsidRDefault="00E33026" w:rsidP="00737849">
            <w:pPr>
              <w:jc w:val="center"/>
              <w:rPr>
                <w:sz w:val="20"/>
                <w:szCs w:val="20"/>
              </w:rPr>
            </w:pPr>
            <w:r w:rsidRPr="00E33026">
              <w:rPr>
                <w:sz w:val="20"/>
                <w:szCs w:val="20"/>
              </w:rPr>
              <w:t xml:space="preserve"> </w:t>
            </w:r>
            <w:r w:rsidR="00223AEB">
              <w:rPr>
                <w:sz w:val="20"/>
                <w:szCs w:val="20"/>
              </w:rPr>
              <w:t>+</w:t>
            </w:r>
            <w:r w:rsidRPr="00E33026">
              <w:rPr>
                <w:sz w:val="20"/>
                <w:szCs w:val="20"/>
              </w:rPr>
              <w:t xml:space="preserve"> </w:t>
            </w:r>
            <w:r w:rsidR="00223AEB">
              <w:rPr>
                <w:sz w:val="20"/>
                <w:szCs w:val="20"/>
              </w:rPr>
              <w:t>4</w:t>
            </w:r>
            <w:r w:rsidRPr="00E33026">
              <w:rPr>
                <w:sz w:val="20"/>
                <w:szCs w:val="20"/>
              </w:rPr>
              <w:t>,</w:t>
            </w:r>
            <w:r w:rsidR="00223AEB">
              <w:rPr>
                <w:sz w:val="20"/>
                <w:szCs w:val="20"/>
              </w:rPr>
              <w:t>21</w:t>
            </w:r>
            <w:r w:rsidR="00C36481" w:rsidRPr="00E33026">
              <w:rPr>
                <w:sz w:val="20"/>
                <w:szCs w:val="20"/>
              </w:rPr>
              <w:t xml:space="preserve"> </w:t>
            </w:r>
            <w:r w:rsidR="00A0517D" w:rsidRPr="00E33026">
              <w:rPr>
                <w:sz w:val="20"/>
                <w:szCs w:val="20"/>
              </w:rPr>
              <w:t>% / 20</w:t>
            </w:r>
            <w:r w:rsidR="001306BB" w:rsidRPr="00E33026">
              <w:rPr>
                <w:sz w:val="20"/>
                <w:szCs w:val="20"/>
              </w:rPr>
              <w:t>2</w:t>
            </w:r>
            <w:r w:rsidR="005F6FB7">
              <w:rPr>
                <w:sz w:val="20"/>
                <w:szCs w:val="20"/>
              </w:rPr>
              <w:t>1</w:t>
            </w:r>
          </w:p>
        </w:tc>
        <w:tc>
          <w:tcPr>
            <w:tcW w:w="1843" w:type="dxa"/>
            <w:vAlign w:val="center"/>
          </w:tcPr>
          <w:p w14:paraId="046F8E5C" w14:textId="26C68D48" w:rsidR="00A0517D" w:rsidRPr="00DC3888" w:rsidRDefault="00A0517D" w:rsidP="00737849">
            <w:pPr>
              <w:jc w:val="center"/>
              <w:rPr>
                <w:sz w:val="20"/>
                <w:szCs w:val="20"/>
              </w:rPr>
            </w:pPr>
            <w:r w:rsidRPr="00DC3888">
              <w:rPr>
                <w:sz w:val="20"/>
                <w:szCs w:val="20"/>
              </w:rPr>
              <w:t>+</w:t>
            </w:r>
            <w:r w:rsidR="00E33026">
              <w:rPr>
                <w:sz w:val="20"/>
                <w:szCs w:val="20"/>
              </w:rPr>
              <w:t xml:space="preserve"> </w:t>
            </w:r>
            <w:r w:rsidR="00223AEB">
              <w:rPr>
                <w:sz w:val="20"/>
                <w:szCs w:val="20"/>
              </w:rPr>
              <w:t>7</w:t>
            </w:r>
            <w:r w:rsidR="00E33026">
              <w:rPr>
                <w:sz w:val="20"/>
                <w:szCs w:val="20"/>
              </w:rPr>
              <w:t>,</w:t>
            </w:r>
            <w:r w:rsidR="00223AEB">
              <w:rPr>
                <w:sz w:val="20"/>
                <w:szCs w:val="20"/>
              </w:rPr>
              <w:t>3</w:t>
            </w:r>
            <w:r w:rsidR="00484797">
              <w:rPr>
                <w:sz w:val="20"/>
                <w:szCs w:val="20"/>
              </w:rPr>
              <w:t>8</w:t>
            </w:r>
            <w:r w:rsidR="00AF6252" w:rsidRPr="00DC3888">
              <w:rPr>
                <w:sz w:val="20"/>
                <w:szCs w:val="20"/>
              </w:rPr>
              <w:t xml:space="preserve"> </w:t>
            </w:r>
            <w:r w:rsidRPr="00DC3888">
              <w:rPr>
                <w:sz w:val="20"/>
                <w:szCs w:val="20"/>
              </w:rPr>
              <w:t>% / 20</w:t>
            </w:r>
            <w:r w:rsidR="00C36481" w:rsidRPr="00DC3888">
              <w:rPr>
                <w:sz w:val="20"/>
                <w:szCs w:val="20"/>
              </w:rPr>
              <w:t>2</w:t>
            </w:r>
            <w:r w:rsidR="005F6FB7">
              <w:rPr>
                <w:sz w:val="20"/>
                <w:szCs w:val="20"/>
              </w:rPr>
              <w:t>2</w:t>
            </w:r>
          </w:p>
        </w:tc>
      </w:tr>
      <w:tr w:rsidR="00A0517D" w:rsidRPr="007B7FFA" w14:paraId="29F8419A" w14:textId="77777777" w:rsidTr="003051BE">
        <w:trPr>
          <w:trHeight w:val="283"/>
          <w:jc w:val="center"/>
        </w:trPr>
        <w:tc>
          <w:tcPr>
            <w:tcW w:w="3572" w:type="dxa"/>
            <w:vAlign w:val="center"/>
          </w:tcPr>
          <w:p w14:paraId="2C46ABDB" w14:textId="77777777" w:rsidR="00A0517D" w:rsidRPr="007B7FFA" w:rsidRDefault="00A0517D" w:rsidP="00737849">
            <w:pPr>
              <w:rPr>
                <w:sz w:val="20"/>
                <w:szCs w:val="20"/>
              </w:rPr>
            </w:pPr>
            <w:r w:rsidRPr="007B7FFA">
              <w:rPr>
                <w:sz w:val="20"/>
                <w:szCs w:val="20"/>
              </w:rPr>
              <w:t>Variation en valeur</w:t>
            </w:r>
          </w:p>
        </w:tc>
        <w:tc>
          <w:tcPr>
            <w:tcW w:w="2268" w:type="dxa"/>
            <w:shd w:val="clear" w:color="auto" w:fill="D0CECE" w:themeFill="background2" w:themeFillShade="E6"/>
            <w:vAlign w:val="center"/>
          </w:tcPr>
          <w:p w14:paraId="2E3BC53B" w14:textId="77777777" w:rsidR="00A0517D" w:rsidRPr="00DC3888" w:rsidRDefault="00A0517D" w:rsidP="00737849">
            <w:pPr>
              <w:jc w:val="center"/>
              <w:rPr>
                <w:sz w:val="20"/>
                <w:szCs w:val="20"/>
              </w:rPr>
            </w:pPr>
          </w:p>
        </w:tc>
        <w:tc>
          <w:tcPr>
            <w:tcW w:w="2126" w:type="dxa"/>
            <w:vAlign w:val="center"/>
          </w:tcPr>
          <w:p w14:paraId="460A25A6" w14:textId="7BC87AD9" w:rsidR="00A0517D" w:rsidRPr="00DC3888" w:rsidRDefault="002C64B2" w:rsidP="00737849">
            <w:pPr>
              <w:jc w:val="center"/>
              <w:rPr>
                <w:sz w:val="20"/>
                <w:szCs w:val="20"/>
              </w:rPr>
            </w:pPr>
            <w:r>
              <w:rPr>
                <w:sz w:val="20"/>
                <w:szCs w:val="20"/>
              </w:rPr>
              <w:t>+</w:t>
            </w:r>
            <w:r w:rsidR="00DC3888">
              <w:rPr>
                <w:sz w:val="20"/>
                <w:szCs w:val="20"/>
              </w:rPr>
              <w:t xml:space="preserve"> </w:t>
            </w:r>
            <w:r>
              <w:rPr>
                <w:sz w:val="20"/>
                <w:szCs w:val="20"/>
              </w:rPr>
              <w:t>46</w:t>
            </w:r>
            <w:r w:rsidR="00DC3888">
              <w:rPr>
                <w:sz w:val="20"/>
                <w:szCs w:val="20"/>
              </w:rPr>
              <w:t xml:space="preserve"> </w:t>
            </w:r>
            <w:r>
              <w:rPr>
                <w:sz w:val="20"/>
                <w:szCs w:val="20"/>
              </w:rPr>
              <w:t>204</w:t>
            </w:r>
            <w:r w:rsidR="00DC3888">
              <w:rPr>
                <w:sz w:val="20"/>
                <w:szCs w:val="20"/>
              </w:rPr>
              <w:t xml:space="preserve"> €</w:t>
            </w:r>
            <w:r w:rsidR="00A0517D" w:rsidRPr="00DC3888">
              <w:rPr>
                <w:sz w:val="20"/>
                <w:szCs w:val="20"/>
              </w:rPr>
              <w:t xml:space="preserve"> / 20</w:t>
            </w:r>
            <w:r w:rsidR="001306BB" w:rsidRPr="00DC3888">
              <w:rPr>
                <w:sz w:val="20"/>
                <w:szCs w:val="20"/>
              </w:rPr>
              <w:t>2</w:t>
            </w:r>
            <w:r w:rsidR="005F6FB7">
              <w:rPr>
                <w:sz w:val="20"/>
                <w:szCs w:val="20"/>
              </w:rPr>
              <w:t>1</w:t>
            </w:r>
          </w:p>
        </w:tc>
        <w:tc>
          <w:tcPr>
            <w:tcW w:w="1843" w:type="dxa"/>
            <w:vAlign w:val="center"/>
          </w:tcPr>
          <w:p w14:paraId="0E533A82" w14:textId="0E0C4B62" w:rsidR="00A0517D" w:rsidRPr="00DC3888" w:rsidRDefault="00A0517D" w:rsidP="00737849">
            <w:pPr>
              <w:jc w:val="center"/>
              <w:rPr>
                <w:sz w:val="20"/>
                <w:szCs w:val="20"/>
              </w:rPr>
            </w:pPr>
            <w:r w:rsidRPr="00DC3888">
              <w:rPr>
                <w:sz w:val="20"/>
                <w:szCs w:val="20"/>
              </w:rPr>
              <w:t xml:space="preserve">+ </w:t>
            </w:r>
            <w:r w:rsidR="00C36481" w:rsidRPr="00DC3888">
              <w:rPr>
                <w:sz w:val="20"/>
                <w:szCs w:val="20"/>
              </w:rPr>
              <w:t xml:space="preserve"> </w:t>
            </w:r>
            <w:r w:rsidR="002C64B2">
              <w:rPr>
                <w:sz w:val="20"/>
                <w:szCs w:val="20"/>
              </w:rPr>
              <w:t>84</w:t>
            </w:r>
            <w:r w:rsidR="00DC3888" w:rsidRPr="00DC3888">
              <w:rPr>
                <w:sz w:val="20"/>
                <w:szCs w:val="20"/>
              </w:rPr>
              <w:t xml:space="preserve"> </w:t>
            </w:r>
            <w:r w:rsidR="007D3B85">
              <w:rPr>
                <w:sz w:val="20"/>
                <w:szCs w:val="20"/>
              </w:rPr>
              <w:t>343</w:t>
            </w:r>
            <w:r w:rsidR="00DC3888" w:rsidRPr="00DC3888">
              <w:rPr>
                <w:sz w:val="20"/>
                <w:szCs w:val="20"/>
              </w:rPr>
              <w:t xml:space="preserve"> </w:t>
            </w:r>
            <w:r w:rsidRPr="00DC3888">
              <w:rPr>
                <w:sz w:val="20"/>
                <w:szCs w:val="20"/>
              </w:rPr>
              <w:t>€ /20</w:t>
            </w:r>
            <w:r w:rsidR="00C36481" w:rsidRPr="00DC3888">
              <w:rPr>
                <w:sz w:val="20"/>
                <w:szCs w:val="20"/>
              </w:rPr>
              <w:t>2</w:t>
            </w:r>
            <w:r w:rsidR="005F6FB7">
              <w:rPr>
                <w:sz w:val="20"/>
                <w:szCs w:val="20"/>
              </w:rPr>
              <w:t>2</w:t>
            </w:r>
          </w:p>
        </w:tc>
      </w:tr>
    </w:tbl>
    <w:p w14:paraId="33F98983" w14:textId="77777777" w:rsidR="007025A6" w:rsidRPr="007B7FFA" w:rsidRDefault="007025A6" w:rsidP="00B03EA0">
      <w:pPr>
        <w:spacing w:after="0"/>
        <w:jc w:val="both"/>
        <w:rPr>
          <w:sz w:val="20"/>
          <w:szCs w:val="20"/>
        </w:rPr>
      </w:pPr>
    </w:p>
    <w:p w14:paraId="3C40DF35" w14:textId="058DE40D" w:rsidR="00C36481" w:rsidRDefault="00C36481" w:rsidP="00C36481">
      <w:pPr>
        <w:spacing w:after="0" w:line="240" w:lineRule="auto"/>
        <w:jc w:val="both"/>
        <w:rPr>
          <w:sz w:val="20"/>
          <w:szCs w:val="20"/>
        </w:rPr>
      </w:pPr>
      <w:r w:rsidRPr="007B7FFA">
        <w:rPr>
          <w:sz w:val="20"/>
          <w:szCs w:val="20"/>
        </w:rPr>
        <w:t>Le chapitre 7</w:t>
      </w:r>
      <w:r>
        <w:rPr>
          <w:sz w:val="20"/>
          <w:szCs w:val="20"/>
        </w:rPr>
        <w:t>3</w:t>
      </w:r>
      <w:r w:rsidR="003B4EF6">
        <w:rPr>
          <w:sz w:val="20"/>
          <w:szCs w:val="20"/>
        </w:rPr>
        <w:t xml:space="preserve"> (2 032 47</w:t>
      </w:r>
      <w:r w:rsidR="00934EE1">
        <w:rPr>
          <w:sz w:val="20"/>
          <w:szCs w:val="20"/>
        </w:rPr>
        <w:t>1</w:t>
      </w:r>
      <w:r w:rsidR="003B4EF6">
        <w:rPr>
          <w:sz w:val="20"/>
          <w:szCs w:val="20"/>
        </w:rPr>
        <w:t>,33</w:t>
      </w:r>
      <w:r w:rsidR="00551152">
        <w:rPr>
          <w:sz w:val="20"/>
          <w:szCs w:val="20"/>
        </w:rPr>
        <w:t xml:space="preserve"> €</w:t>
      </w:r>
      <w:r w:rsidR="003B4EF6">
        <w:rPr>
          <w:sz w:val="20"/>
          <w:szCs w:val="20"/>
        </w:rPr>
        <w:t>)</w:t>
      </w:r>
      <w:r w:rsidRPr="007B7FFA">
        <w:rPr>
          <w:sz w:val="20"/>
          <w:szCs w:val="20"/>
        </w:rPr>
        <w:t xml:space="preserve"> regroupe également</w:t>
      </w:r>
      <w:r w:rsidR="00545D56">
        <w:rPr>
          <w:sz w:val="20"/>
          <w:szCs w:val="20"/>
        </w:rPr>
        <w:t xml:space="preserve"> : </w:t>
      </w:r>
    </w:p>
    <w:p w14:paraId="25579EF6" w14:textId="4263516A" w:rsidR="00556FDC" w:rsidRDefault="00556FDC" w:rsidP="00556FDC">
      <w:pPr>
        <w:tabs>
          <w:tab w:val="left" w:pos="284"/>
        </w:tabs>
        <w:spacing w:after="0" w:line="240" w:lineRule="auto"/>
        <w:jc w:val="both"/>
        <w:rPr>
          <w:i/>
          <w:iCs/>
          <w:color w:val="7030A0"/>
          <w:sz w:val="20"/>
          <w:szCs w:val="20"/>
        </w:rPr>
      </w:pPr>
      <w:r>
        <w:rPr>
          <w:sz w:val="20"/>
          <w:szCs w:val="20"/>
        </w:rPr>
        <w:t>-</w:t>
      </w:r>
      <w:r>
        <w:rPr>
          <w:sz w:val="20"/>
          <w:szCs w:val="20"/>
        </w:rPr>
        <w:tab/>
        <w:t>un rôle complémentaire de fiscalité : 269 €</w:t>
      </w:r>
    </w:p>
    <w:p w14:paraId="22AAB977" w14:textId="493B15EA" w:rsidR="005F0054" w:rsidRDefault="005F0054" w:rsidP="005F0054">
      <w:pPr>
        <w:tabs>
          <w:tab w:val="left" w:pos="284"/>
        </w:tabs>
        <w:spacing w:after="0" w:line="240" w:lineRule="auto"/>
        <w:jc w:val="both"/>
        <w:rPr>
          <w:sz w:val="20"/>
          <w:szCs w:val="20"/>
        </w:rPr>
      </w:pPr>
      <w:r w:rsidRPr="005F0054">
        <w:rPr>
          <w:b/>
          <w:bCs/>
          <w:sz w:val="20"/>
          <w:szCs w:val="20"/>
        </w:rPr>
        <w:t>-</w:t>
      </w:r>
      <w:r w:rsidRPr="005F0054">
        <w:rPr>
          <w:b/>
          <w:bCs/>
          <w:sz w:val="20"/>
          <w:szCs w:val="20"/>
        </w:rPr>
        <w:tab/>
      </w:r>
      <w:r w:rsidRPr="005F0054">
        <w:rPr>
          <w:sz w:val="20"/>
          <w:szCs w:val="20"/>
        </w:rPr>
        <w:t>L'attribution de compensation de la CAPSO</w:t>
      </w:r>
      <w:r>
        <w:rPr>
          <w:sz w:val="20"/>
          <w:szCs w:val="20"/>
        </w:rPr>
        <w:t xml:space="preserve"> : </w:t>
      </w:r>
      <w:r w:rsidR="00364757">
        <w:rPr>
          <w:sz w:val="20"/>
          <w:szCs w:val="20"/>
        </w:rPr>
        <w:t>599</w:t>
      </w:r>
      <w:r>
        <w:rPr>
          <w:sz w:val="20"/>
          <w:szCs w:val="20"/>
        </w:rPr>
        <w:t xml:space="preserve"> </w:t>
      </w:r>
      <w:r w:rsidR="00364757">
        <w:rPr>
          <w:sz w:val="20"/>
          <w:szCs w:val="20"/>
        </w:rPr>
        <w:t>294</w:t>
      </w:r>
      <w:r>
        <w:rPr>
          <w:sz w:val="20"/>
          <w:szCs w:val="20"/>
        </w:rPr>
        <w:t>,</w:t>
      </w:r>
      <w:r w:rsidR="00364757">
        <w:rPr>
          <w:sz w:val="20"/>
          <w:szCs w:val="20"/>
        </w:rPr>
        <w:t>93</w:t>
      </w:r>
      <w:r>
        <w:rPr>
          <w:sz w:val="20"/>
          <w:szCs w:val="20"/>
        </w:rPr>
        <w:t xml:space="preserve"> €</w:t>
      </w:r>
    </w:p>
    <w:p w14:paraId="1E7890C3" w14:textId="2809C1DE" w:rsidR="005F0054" w:rsidRDefault="005F0054" w:rsidP="005F0054">
      <w:pPr>
        <w:tabs>
          <w:tab w:val="left" w:pos="284"/>
        </w:tabs>
        <w:spacing w:after="0" w:line="240" w:lineRule="auto"/>
        <w:jc w:val="both"/>
        <w:rPr>
          <w:sz w:val="20"/>
          <w:szCs w:val="20"/>
        </w:rPr>
      </w:pPr>
      <w:r>
        <w:rPr>
          <w:sz w:val="20"/>
          <w:szCs w:val="20"/>
        </w:rPr>
        <w:t>-</w:t>
      </w:r>
      <w:r>
        <w:rPr>
          <w:sz w:val="20"/>
          <w:szCs w:val="20"/>
        </w:rPr>
        <w:tab/>
        <w:t xml:space="preserve">La dotation de solidarité communautaire : </w:t>
      </w:r>
      <w:r w:rsidR="006B488C">
        <w:rPr>
          <w:sz w:val="20"/>
          <w:szCs w:val="20"/>
        </w:rPr>
        <w:t>24</w:t>
      </w:r>
      <w:r>
        <w:rPr>
          <w:sz w:val="20"/>
          <w:szCs w:val="20"/>
        </w:rPr>
        <w:t xml:space="preserve"> </w:t>
      </w:r>
      <w:r w:rsidR="006B488C">
        <w:rPr>
          <w:sz w:val="20"/>
          <w:szCs w:val="20"/>
        </w:rPr>
        <w:t>159</w:t>
      </w:r>
      <w:r>
        <w:rPr>
          <w:sz w:val="20"/>
          <w:szCs w:val="20"/>
        </w:rPr>
        <w:t>,00 €</w:t>
      </w:r>
    </w:p>
    <w:p w14:paraId="7B649888" w14:textId="762A23CC" w:rsidR="005F0054" w:rsidRDefault="005F0054" w:rsidP="005F0054">
      <w:pPr>
        <w:tabs>
          <w:tab w:val="left" w:pos="284"/>
        </w:tabs>
        <w:spacing w:after="0" w:line="240" w:lineRule="auto"/>
        <w:jc w:val="both"/>
        <w:rPr>
          <w:sz w:val="20"/>
          <w:szCs w:val="20"/>
        </w:rPr>
      </w:pPr>
      <w:r>
        <w:rPr>
          <w:sz w:val="20"/>
          <w:szCs w:val="20"/>
        </w:rPr>
        <w:t>-</w:t>
      </w:r>
      <w:r>
        <w:rPr>
          <w:sz w:val="20"/>
          <w:szCs w:val="20"/>
        </w:rPr>
        <w:tab/>
        <w:t xml:space="preserve">Le fonds de Péréquation </w:t>
      </w:r>
      <w:r w:rsidR="00455970">
        <w:rPr>
          <w:sz w:val="20"/>
          <w:szCs w:val="20"/>
        </w:rPr>
        <w:t>des Ressources Communales et Intercommunales : 4</w:t>
      </w:r>
      <w:r w:rsidR="00D71AF6">
        <w:rPr>
          <w:sz w:val="20"/>
          <w:szCs w:val="20"/>
        </w:rPr>
        <w:t>3</w:t>
      </w:r>
      <w:r w:rsidR="00455970">
        <w:rPr>
          <w:sz w:val="20"/>
          <w:szCs w:val="20"/>
        </w:rPr>
        <w:t xml:space="preserve"> </w:t>
      </w:r>
      <w:r w:rsidR="00D71AF6">
        <w:rPr>
          <w:sz w:val="20"/>
          <w:szCs w:val="20"/>
        </w:rPr>
        <w:t>541</w:t>
      </w:r>
      <w:r w:rsidR="00455970">
        <w:rPr>
          <w:sz w:val="20"/>
          <w:szCs w:val="20"/>
        </w:rPr>
        <w:t>,00 €</w:t>
      </w:r>
    </w:p>
    <w:p w14:paraId="0B6E1FB8" w14:textId="575FEF64" w:rsidR="00455970" w:rsidRDefault="00455970" w:rsidP="005F0054">
      <w:pPr>
        <w:tabs>
          <w:tab w:val="left" w:pos="284"/>
        </w:tabs>
        <w:spacing w:after="0" w:line="240" w:lineRule="auto"/>
        <w:jc w:val="both"/>
        <w:rPr>
          <w:sz w:val="20"/>
          <w:szCs w:val="20"/>
        </w:rPr>
      </w:pPr>
      <w:r>
        <w:rPr>
          <w:sz w:val="20"/>
          <w:szCs w:val="20"/>
        </w:rPr>
        <w:t>-</w:t>
      </w:r>
      <w:r>
        <w:rPr>
          <w:sz w:val="20"/>
          <w:szCs w:val="20"/>
        </w:rPr>
        <w:tab/>
        <w:t>le FNGIR : 37 443,00 €</w:t>
      </w:r>
    </w:p>
    <w:p w14:paraId="634DBF44" w14:textId="253067BC" w:rsidR="005F0054" w:rsidRDefault="005F0054" w:rsidP="005F0054">
      <w:pPr>
        <w:tabs>
          <w:tab w:val="left" w:pos="284"/>
        </w:tabs>
        <w:spacing w:after="0" w:line="240" w:lineRule="auto"/>
        <w:jc w:val="both"/>
        <w:rPr>
          <w:sz w:val="20"/>
          <w:szCs w:val="20"/>
        </w:rPr>
      </w:pPr>
      <w:r>
        <w:rPr>
          <w:sz w:val="20"/>
          <w:szCs w:val="20"/>
        </w:rPr>
        <w:t>-</w:t>
      </w:r>
      <w:r>
        <w:rPr>
          <w:sz w:val="20"/>
          <w:szCs w:val="20"/>
        </w:rPr>
        <w:tab/>
        <w:t xml:space="preserve">Les droits de place : </w:t>
      </w:r>
      <w:r w:rsidR="00953902">
        <w:rPr>
          <w:sz w:val="20"/>
          <w:szCs w:val="20"/>
        </w:rPr>
        <w:t>6</w:t>
      </w:r>
      <w:r>
        <w:rPr>
          <w:sz w:val="20"/>
          <w:szCs w:val="20"/>
        </w:rPr>
        <w:t xml:space="preserve"> </w:t>
      </w:r>
      <w:r w:rsidR="00953902">
        <w:rPr>
          <w:sz w:val="20"/>
          <w:szCs w:val="20"/>
        </w:rPr>
        <w:t>818</w:t>
      </w:r>
      <w:r>
        <w:rPr>
          <w:sz w:val="20"/>
          <w:szCs w:val="20"/>
        </w:rPr>
        <w:t>,</w:t>
      </w:r>
      <w:r w:rsidR="00953902">
        <w:rPr>
          <w:sz w:val="20"/>
          <w:szCs w:val="20"/>
        </w:rPr>
        <w:t>01</w:t>
      </w:r>
      <w:r>
        <w:rPr>
          <w:sz w:val="20"/>
          <w:szCs w:val="20"/>
        </w:rPr>
        <w:t xml:space="preserve"> €</w:t>
      </w:r>
    </w:p>
    <w:p w14:paraId="4F0B053C" w14:textId="110A5C13" w:rsidR="001D7FEF" w:rsidRDefault="001D7FEF" w:rsidP="005F0054">
      <w:pPr>
        <w:tabs>
          <w:tab w:val="left" w:pos="284"/>
        </w:tabs>
        <w:spacing w:after="0" w:line="240" w:lineRule="auto"/>
        <w:jc w:val="both"/>
        <w:rPr>
          <w:sz w:val="20"/>
          <w:szCs w:val="20"/>
        </w:rPr>
      </w:pPr>
      <w:r>
        <w:rPr>
          <w:sz w:val="20"/>
          <w:szCs w:val="20"/>
        </w:rPr>
        <w:t>-</w:t>
      </w:r>
      <w:r>
        <w:rPr>
          <w:sz w:val="20"/>
          <w:szCs w:val="20"/>
        </w:rPr>
        <w:tab/>
        <w:t>La taxe sur l'électricité : 4</w:t>
      </w:r>
      <w:r w:rsidR="0059752B">
        <w:rPr>
          <w:sz w:val="20"/>
          <w:szCs w:val="20"/>
        </w:rPr>
        <w:t>0</w:t>
      </w:r>
      <w:r>
        <w:rPr>
          <w:sz w:val="20"/>
          <w:szCs w:val="20"/>
        </w:rPr>
        <w:t xml:space="preserve"> </w:t>
      </w:r>
      <w:r w:rsidR="0059752B">
        <w:rPr>
          <w:sz w:val="20"/>
          <w:szCs w:val="20"/>
        </w:rPr>
        <w:t>863,75</w:t>
      </w:r>
      <w:r>
        <w:rPr>
          <w:sz w:val="20"/>
          <w:szCs w:val="20"/>
        </w:rPr>
        <w:t xml:space="preserve"> €</w:t>
      </w:r>
    </w:p>
    <w:p w14:paraId="7C1AC8C5" w14:textId="264F04DC" w:rsidR="005F0054" w:rsidRPr="005F0054" w:rsidRDefault="005F0054" w:rsidP="005F0054">
      <w:pPr>
        <w:tabs>
          <w:tab w:val="left" w:pos="284"/>
        </w:tabs>
        <w:spacing w:after="0" w:line="240" w:lineRule="auto"/>
        <w:jc w:val="both"/>
        <w:rPr>
          <w:sz w:val="20"/>
          <w:szCs w:val="20"/>
        </w:rPr>
      </w:pPr>
      <w:r>
        <w:rPr>
          <w:sz w:val="20"/>
          <w:szCs w:val="20"/>
        </w:rPr>
        <w:t>-</w:t>
      </w:r>
      <w:r>
        <w:rPr>
          <w:sz w:val="20"/>
          <w:szCs w:val="20"/>
        </w:rPr>
        <w:tab/>
        <w:t>La taxe additionnelle aux droits de mutation : 5</w:t>
      </w:r>
      <w:r w:rsidR="006C7BE4">
        <w:rPr>
          <w:sz w:val="20"/>
          <w:szCs w:val="20"/>
        </w:rPr>
        <w:t>3</w:t>
      </w:r>
      <w:r>
        <w:rPr>
          <w:sz w:val="20"/>
          <w:szCs w:val="20"/>
        </w:rPr>
        <w:t xml:space="preserve"> </w:t>
      </w:r>
      <w:r w:rsidR="006C7BE4">
        <w:rPr>
          <w:sz w:val="20"/>
          <w:szCs w:val="20"/>
        </w:rPr>
        <w:t>366</w:t>
      </w:r>
      <w:r>
        <w:rPr>
          <w:sz w:val="20"/>
          <w:szCs w:val="20"/>
        </w:rPr>
        <w:t>,</w:t>
      </w:r>
      <w:r w:rsidR="006C7BE4">
        <w:rPr>
          <w:sz w:val="20"/>
          <w:szCs w:val="20"/>
        </w:rPr>
        <w:t>64 €</w:t>
      </w:r>
    </w:p>
    <w:p w14:paraId="196F81A1" w14:textId="77777777" w:rsidR="00C36481" w:rsidRDefault="00C36481" w:rsidP="003C0F6F">
      <w:pPr>
        <w:pStyle w:val="Paragraphedeliste"/>
        <w:spacing w:after="0" w:line="240" w:lineRule="auto"/>
        <w:jc w:val="both"/>
        <w:rPr>
          <w:b/>
          <w:bCs/>
          <w:sz w:val="20"/>
          <w:szCs w:val="20"/>
          <w:u w:val="single"/>
        </w:rPr>
      </w:pPr>
    </w:p>
    <w:p w14:paraId="1AD72E86" w14:textId="1FBFBAD7" w:rsidR="003C0F6F" w:rsidRPr="007B7FFA" w:rsidRDefault="00E405C8" w:rsidP="003C0F6F">
      <w:pPr>
        <w:pStyle w:val="Paragraphedeliste"/>
        <w:spacing w:after="0" w:line="240" w:lineRule="auto"/>
        <w:jc w:val="both"/>
        <w:rPr>
          <w:b/>
          <w:bCs/>
          <w:sz w:val="20"/>
          <w:szCs w:val="20"/>
          <w:u w:val="single"/>
        </w:rPr>
      </w:pPr>
      <w:r w:rsidRPr="007B7FFA">
        <w:rPr>
          <w:b/>
          <w:bCs/>
          <w:sz w:val="20"/>
          <w:szCs w:val="20"/>
          <w:u w:val="single"/>
        </w:rPr>
        <w:t xml:space="preserve">4) </w:t>
      </w:r>
      <w:r w:rsidR="003C0F6F" w:rsidRPr="007B7FFA">
        <w:rPr>
          <w:b/>
          <w:bCs/>
          <w:sz w:val="20"/>
          <w:szCs w:val="20"/>
          <w:u w:val="single"/>
        </w:rPr>
        <w:t>Le</w:t>
      </w:r>
      <w:r w:rsidR="00EA4C8F" w:rsidRPr="007B7FFA">
        <w:rPr>
          <w:b/>
          <w:bCs/>
          <w:sz w:val="20"/>
          <w:szCs w:val="20"/>
          <w:u w:val="single"/>
        </w:rPr>
        <w:t xml:space="preserve">s dotations, subvention et participations </w:t>
      </w:r>
      <w:r w:rsidR="003C0F6F" w:rsidRPr="007B7FFA">
        <w:rPr>
          <w:b/>
          <w:bCs/>
          <w:sz w:val="20"/>
          <w:szCs w:val="20"/>
          <w:u w:val="single"/>
        </w:rPr>
        <w:t>(chapitre 7</w:t>
      </w:r>
      <w:r w:rsidR="00EA4C8F" w:rsidRPr="007B7FFA">
        <w:rPr>
          <w:b/>
          <w:bCs/>
          <w:sz w:val="20"/>
          <w:szCs w:val="20"/>
          <w:u w:val="single"/>
        </w:rPr>
        <w:t>4</w:t>
      </w:r>
      <w:r w:rsidR="003C0F6F" w:rsidRPr="007B7FFA">
        <w:rPr>
          <w:b/>
          <w:bCs/>
          <w:sz w:val="20"/>
          <w:szCs w:val="20"/>
          <w:u w:val="single"/>
        </w:rPr>
        <w:t xml:space="preserve">) </w:t>
      </w:r>
    </w:p>
    <w:p w14:paraId="4EAAF625" w14:textId="697BEE4E" w:rsidR="00545D56" w:rsidRPr="002F6DD7" w:rsidRDefault="00AB43B6" w:rsidP="00077799">
      <w:pPr>
        <w:spacing w:line="240" w:lineRule="auto"/>
        <w:rPr>
          <w:i/>
          <w:iCs/>
          <w:color w:val="7030A0"/>
          <w:sz w:val="20"/>
          <w:szCs w:val="20"/>
        </w:rPr>
      </w:pPr>
      <w:r>
        <w:rPr>
          <w:sz w:val="20"/>
          <w:szCs w:val="20"/>
        </w:rPr>
        <w:t>La dotation globale de fonctionnement</w:t>
      </w:r>
      <w:r w:rsidR="00545D56">
        <w:rPr>
          <w:sz w:val="20"/>
          <w:szCs w:val="20"/>
        </w:rPr>
        <w:t>, principale dotation de fonctionnement de l’Etat aux collectivités territoriales,</w:t>
      </w:r>
      <w:r>
        <w:rPr>
          <w:sz w:val="20"/>
          <w:szCs w:val="20"/>
        </w:rPr>
        <w:t xml:space="preserve"> </w:t>
      </w:r>
      <w:r w:rsidR="00D07ADB">
        <w:rPr>
          <w:sz w:val="20"/>
          <w:szCs w:val="20"/>
        </w:rPr>
        <w:t xml:space="preserve">est une ressource importante qui </w:t>
      </w:r>
      <w:r>
        <w:rPr>
          <w:sz w:val="20"/>
          <w:szCs w:val="20"/>
        </w:rPr>
        <w:t xml:space="preserve">a </w:t>
      </w:r>
      <w:r w:rsidR="00C36481">
        <w:rPr>
          <w:sz w:val="20"/>
          <w:szCs w:val="20"/>
        </w:rPr>
        <w:t>évolué</w:t>
      </w:r>
      <w:r>
        <w:rPr>
          <w:sz w:val="20"/>
          <w:szCs w:val="20"/>
        </w:rPr>
        <w:t xml:space="preserve"> de la manière suivante</w:t>
      </w:r>
      <w:r w:rsidR="00DA5F89">
        <w:rPr>
          <w:sz w:val="20"/>
          <w:szCs w:val="20"/>
        </w:rPr>
        <w:t xml:space="preserve"> : </w:t>
      </w:r>
      <w:r w:rsidR="00961B18">
        <w:rPr>
          <w:sz w:val="20"/>
          <w:szCs w:val="20"/>
        </w:rPr>
        <w:t>170 418 €</w:t>
      </w:r>
      <w:r w:rsidR="00DA5F89">
        <w:rPr>
          <w:sz w:val="20"/>
          <w:szCs w:val="20"/>
        </w:rPr>
        <w:t>, contre</w:t>
      </w:r>
      <w:r w:rsidR="00961B18">
        <w:rPr>
          <w:sz w:val="20"/>
          <w:szCs w:val="20"/>
        </w:rPr>
        <w:t xml:space="preserve"> 162 799 € en 2022,</w:t>
      </w:r>
      <w:r w:rsidR="00DA5F89">
        <w:rPr>
          <w:sz w:val="20"/>
          <w:szCs w:val="20"/>
        </w:rPr>
        <w:t xml:space="preserve"> soit une </w:t>
      </w:r>
      <w:r w:rsidR="00961B18">
        <w:rPr>
          <w:sz w:val="20"/>
          <w:szCs w:val="20"/>
        </w:rPr>
        <w:t>hausse</w:t>
      </w:r>
      <w:r w:rsidR="00DA5F89">
        <w:rPr>
          <w:sz w:val="20"/>
          <w:szCs w:val="20"/>
        </w:rPr>
        <w:t xml:space="preserve"> de </w:t>
      </w:r>
      <w:r w:rsidR="00961B18">
        <w:rPr>
          <w:sz w:val="20"/>
          <w:szCs w:val="20"/>
        </w:rPr>
        <w:t>4</w:t>
      </w:r>
      <w:r w:rsidR="00DA5F89">
        <w:rPr>
          <w:sz w:val="20"/>
          <w:szCs w:val="20"/>
        </w:rPr>
        <w:t>,</w:t>
      </w:r>
      <w:r w:rsidR="00961B18">
        <w:rPr>
          <w:sz w:val="20"/>
          <w:szCs w:val="20"/>
        </w:rPr>
        <w:t>47</w:t>
      </w:r>
      <w:r w:rsidR="00DA5F89">
        <w:rPr>
          <w:sz w:val="20"/>
          <w:szCs w:val="20"/>
        </w:rPr>
        <w:t xml:space="preserve"> %.</w:t>
      </w:r>
    </w:p>
    <w:p w14:paraId="5E8E991E" w14:textId="3A22C06D" w:rsidR="00C97388" w:rsidRDefault="00CE2FEE" w:rsidP="00830187">
      <w:pPr>
        <w:spacing w:after="0" w:line="240" w:lineRule="auto"/>
        <w:jc w:val="both"/>
        <w:rPr>
          <w:sz w:val="20"/>
          <w:szCs w:val="20"/>
        </w:rPr>
      </w:pPr>
      <w:r w:rsidRPr="007B7FFA">
        <w:rPr>
          <w:sz w:val="20"/>
          <w:szCs w:val="20"/>
        </w:rPr>
        <w:t>Le chapitre 74 regroupe également</w:t>
      </w:r>
      <w:r w:rsidR="00A755CC">
        <w:rPr>
          <w:sz w:val="20"/>
          <w:szCs w:val="20"/>
        </w:rPr>
        <w:t xml:space="preserve"> :</w:t>
      </w:r>
    </w:p>
    <w:p w14:paraId="7E858197" w14:textId="1090CAE9" w:rsidR="00961B18" w:rsidRDefault="00961B18" w:rsidP="00961B18">
      <w:pPr>
        <w:tabs>
          <w:tab w:val="left" w:pos="284"/>
        </w:tabs>
        <w:spacing w:after="0" w:line="240" w:lineRule="auto"/>
        <w:jc w:val="both"/>
        <w:rPr>
          <w:sz w:val="20"/>
          <w:szCs w:val="20"/>
        </w:rPr>
      </w:pPr>
      <w:r>
        <w:rPr>
          <w:sz w:val="20"/>
          <w:szCs w:val="20"/>
        </w:rPr>
        <w:t>-</w:t>
      </w:r>
      <w:r>
        <w:rPr>
          <w:sz w:val="20"/>
          <w:szCs w:val="20"/>
        </w:rPr>
        <w:tab/>
        <w:t>La dotation aux élus locaux : 333 €</w:t>
      </w:r>
    </w:p>
    <w:p w14:paraId="588378CC" w14:textId="14BB98F6" w:rsidR="00A755CC" w:rsidRDefault="00A755CC" w:rsidP="00A755CC">
      <w:pPr>
        <w:tabs>
          <w:tab w:val="left" w:pos="284"/>
        </w:tabs>
        <w:spacing w:after="0" w:line="240" w:lineRule="auto"/>
        <w:jc w:val="both"/>
        <w:rPr>
          <w:sz w:val="20"/>
          <w:szCs w:val="20"/>
        </w:rPr>
      </w:pPr>
      <w:r>
        <w:rPr>
          <w:sz w:val="20"/>
          <w:szCs w:val="20"/>
        </w:rPr>
        <w:t>-</w:t>
      </w:r>
      <w:r>
        <w:rPr>
          <w:sz w:val="20"/>
          <w:szCs w:val="20"/>
        </w:rPr>
        <w:tab/>
        <w:t xml:space="preserve">Le FCTVA : </w:t>
      </w:r>
      <w:r w:rsidR="00EA256E">
        <w:rPr>
          <w:sz w:val="20"/>
          <w:szCs w:val="20"/>
        </w:rPr>
        <w:t>2 461,76</w:t>
      </w:r>
      <w:r>
        <w:rPr>
          <w:sz w:val="20"/>
          <w:szCs w:val="20"/>
        </w:rPr>
        <w:t xml:space="preserve"> €</w:t>
      </w:r>
    </w:p>
    <w:p w14:paraId="68CDCF5A" w14:textId="476F0C12" w:rsidR="006C0A43" w:rsidRDefault="006C0A43" w:rsidP="00A755CC">
      <w:pPr>
        <w:tabs>
          <w:tab w:val="left" w:pos="284"/>
        </w:tabs>
        <w:spacing w:after="0" w:line="240" w:lineRule="auto"/>
        <w:jc w:val="both"/>
        <w:rPr>
          <w:sz w:val="20"/>
          <w:szCs w:val="20"/>
        </w:rPr>
      </w:pPr>
      <w:r>
        <w:rPr>
          <w:sz w:val="20"/>
          <w:szCs w:val="20"/>
        </w:rPr>
        <w:t>-</w:t>
      </w:r>
      <w:r>
        <w:rPr>
          <w:sz w:val="20"/>
          <w:szCs w:val="20"/>
        </w:rPr>
        <w:tab/>
        <w:t xml:space="preserve">Les autres participations de l'Etat : </w:t>
      </w:r>
      <w:r w:rsidR="00C90F05">
        <w:rPr>
          <w:sz w:val="20"/>
          <w:szCs w:val="20"/>
        </w:rPr>
        <w:t>1 23</w:t>
      </w:r>
      <w:r>
        <w:rPr>
          <w:sz w:val="20"/>
          <w:szCs w:val="20"/>
        </w:rPr>
        <w:t>1,18 €</w:t>
      </w:r>
    </w:p>
    <w:p w14:paraId="52DCF0BD" w14:textId="25EAB66E" w:rsidR="00A755CC" w:rsidRDefault="00A755CC" w:rsidP="00A755CC">
      <w:pPr>
        <w:tabs>
          <w:tab w:val="left" w:pos="284"/>
        </w:tabs>
        <w:spacing w:after="0" w:line="240" w:lineRule="auto"/>
        <w:jc w:val="both"/>
        <w:rPr>
          <w:sz w:val="20"/>
          <w:szCs w:val="20"/>
        </w:rPr>
      </w:pPr>
      <w:r>
        <w:rPr>
          <w:sz w:val="20"/>
          <w:szCs w:val="20"/>
        </w:rPr>
        <w:t>-</w:t>
      </w:r>
      <w:r>
        <w:rPr>
          <w:sz w:val="20"/>
          <w:szCs w:val="20"/>
        </w:rPr>
        <w:tab/>
        <w:t>Les participations du Département : 1</w:t>
      </w:r>
      <w:r w:rsidR="00A4081C">
        <w:rPr>
          <w:sz w:val="20"/>
          <w:szCs w:val="20"/>
        </w:rPr>
        <w:t>2</w:t>
      </w:r>
      <w:r>
        <w:rPr>
          <w:sz w:val="20"/>
          <w:szCs w:val="20"/>
        </w:rPr>
        <w:t xml:space="preserve"> </w:t>
      </w:r>
      <w:r w:rsidR="00A4081C">
        <w:rPr>
          <w:sz w:val="20"/>
          <w:szCs w:val="20"/>
        </w:rPr>
        <w:t>336</w:t>
      </w:r>
      <w:r>
        <w:rPr>
          <w:sz w:val="20"/>
          <w:szCs w:val="20"/>
        </w:rPr>
        <w:t>,</w:t>
      </w:r>
      <w:r w:rsidR="00A4081C">
        <w:rPr>
          <w:sz w:val="20"/>
          <w:szCs w:val="20"/>
        </w:rPr>
        <w:t>83</w:t>
      </w:r>
      <w:r>
        <w:rPr>
          <w:sz w:val="20"/>
          <w:szCs w:val="20"/>
        </w:rPr>
        <w:t xml:space="preserve"> €</w:t>
      </w:r>
    </w:p>
    <w:p w14:paraId="3A00E79E" w14:textId="40C06EB1" w:rsidR="00C90F05" w:rsidRDefault="00C90F05" w:rsidP="00A755CC">
      <w:pPr>
        <w:tabs>
          <w:tab w:val="left" w:pos="284"/>
        </w:tabs>
        <w:spacing w:after="0" w:line="240" w:lineRule="auto"/>
        <w:jc w:val="both"/>
        <w:rPr>
          <w:sz w:val="20"/>
          <w:szCs w:val="20"/>
        </w:rPr>
      </w:pPr>
      <w:r>
        <w:rPr>
          <w:sz w:val="20"/>
          <w:szCs w:val="20"/>
        </w:rPr>
        <w:t>-</w:t>
      </w:r>
      <w:r>
        <w:rPr>
          <w:sz w:val="20"/>
          <w:szCs w:val="20"/>
        </w:rPr>
        <w:tab/>
        <w:t xml:space="preserve">Les participations d'autres organismes : 1 </w:t>
      </w:r>
      <w:r w:rsidR="00E77BE7">
        <w:rPr>
          <w:sz w:val="20"/>
          <w:szCs w:val="20"/>
        </w:rPr>
        <w:t>00</w:t>
      </w:r>
      <w:r>
        <w:rPr>
          <w:sz w:val="20"/>
          <w:szCs w:val="20"/>
        </w:rPr>
        <w:t>0,00 €</w:t>
      </w:r>
    </w:p>
    <w:p w14:paraId="7339042C" w14:textId="5DA89020" w:rsidR="00A755CC" w:rsidRDefault="00A755CC" w:rsidP="00A755CC">
      <w:pPr>
        <w:tabs>
          <w:tab w:val="left" w:pos="284"/>
        </w:tabs>
        <w:spacing w:after="0" w:line="240" w:lineRule="auto"/>
        <w:jc w:val="both"/>
        <w:rPr>
          <w:sz w:val="20"/>
          <w:szCs w:val="20"/>
        </w:rPr>
      </w:pPr>
      <w:r>
        <w:rPr>
          <w:sz w:val="20"/>
          <w:szCs w:val="20"/>
        </w:rPr>
        <w:t>-</w:t>
      </w:r>
      <w:r>
        <w:rPr>
          <w:sz w:val="20"/>
          <w:szCs w:val="20"/>
        </w:rPr>
        <w:tab/>
        <w:t>Les compensations de l'État : 2</w:t>
      </w:r>
      <w:r w:rsidR="00BB3D3D">
        <w:rPr>
          <w:sz w:val="20"/>
          <w:szCs w:val="20"/>
        </w:rPr>
        <w:t>58</w:t>
      </w:r>
      <w:r>
        <w:rPr>
          <w:sz w:val="20"/>
          <w:szCs w:val="20"/>
        </w:rPr>
        <w:t xml:space="preserve"> </w:t>
      </w:r>
      <w:r w:rsidR="00BB3D3D">
        <w:rPr>
          <w:sz w:val="20"/>
          <w:szCs w:val="20"/>
        </w:rPr>
        <w:t>412</w:t>
      </w:r>
      <w:r>
        <w:rPr>
          <w:sz w:val="20"/>
          <w:szCs w:val="20"/>
        </w:rPr>
        <w:t>,00 €</w:t>
      </w:r>
    </w:p>
    <w:p w14:paraId="1F950651" w14:textId="03DD624B" w:rsidR="00830187" w:rsidRDefault="00406BE6" w:rsidP="00830187">
      <w:pPr>
        <w:spacing w:after="0" w:line="240" w:lineRule="auto"/>
        <w:jc w:val="both"/>
        <w:rPr>
          <w:sz w:val="20"/>
          <w:szCs w:val="20"/>
        </w:rPr>
      </w:pPr>
      <w:r>
        <w:rPr>
          <w:sz w:val="20"/>
          <w:szCs w:val="20"/>
        </w:rPr>
        <w:t>Soit un montant total de 446 192,77 €</w:t>
      </w:r>
    </w:p>
    <w:p w14:paraId="232ABA44" w14:textId="77777777" w:rsidR="00406BE6" w:rsidRPr="007B7FFA" w:rsidRDefault="00406BE6" w:rsidP="00830187">
      <w:pPr>
        <w:spacing w:after="0" w:line="240" w:lineRule="auto"/>
        <w:jc w:val="both"/>
        <w:rPr>
          <w:sz w:val="20"/>
          <w:szCs w:val="20"/>
        </w:rPr>
      </w:pPr>
    </w:p>
    <w:p w14:paraId="332012EA" w14:textId="77777777" w:rsidR="00E405C8" w:rsidRPr="007B7FFA" w:rsidRDefault="00E405C8" w:rsidP="00E405C8">
      <w:pPr>
        <w:pStyle w:val="Paragraphedeliste"/>
        <w:spacing w:after="0" w:line="240" w:lineRule="auto"/>
        <w:jc w:val="both"/>
        <w:rPr>
          <w:b/>
          <w:bCs/>
          <w:sz w:val="20"/>
          <w:szCs w:val="20"/>
          <w:u w:val="single"/>
        </w:rPr>
      </w:pPr>
      <w:r w:rsidRPr="007B7FFA">
        <w:rPr>
          <w:b/>
          <w:bCs/>
          <w:sz w:val="20"/>
          <w:szCs w:val="20"/>
          <w:u w:val="single"/>
        </w:rPr>
        <w:t xml:space="preserve">5) Les autres produits de gestion courante (chapitre 75) </w:t>
      </w:r>
    </w:p>
    <w:p w14:paraId="70826B67" w14:textId="489C4628" w:rsidR="00830187" w:rsidRPr="00634A8E" w:rsidRDefault="007B7FFA" w:rsidP="00830187">
      <w:pPr>
        <w:spacing w:after="0" w:line="240" w:lineRule="auto"/>
        <w:jc w:val="both"/>
        <w:rPr>
          <w:sz w:val="20"/>
          <w:szCs w:val="20"/>
        </w:rPr>
      </w:pPr>
      <w:r w:rsidRPr="007B7FFA">
        <w:rPr>
          <w:sz w:val="20"/>
          <w:szCs w:val="20"/>
        </w:rPr>
        <w:t>Il s’agit notamment des loyers encaissés</w:t>
      </w:r>
      <w:r w:rsidR="00B50701">
        <w:rPr>
          <w:sz w:val="20"/>
          <w:szCs w:val="20"/>
        </w:rPr>
        <w:t xml:space="preserve"> pour les logements communaux, la gendarmerie et la maison médicale.</w:t>
      </w:r>
      <w:r w:rsidRPr="007B7FFA">
        <w:rPr>
          <w:sz w:val="20"/>
          <w:szCs w:val="20"/>
        </w:rPr>
        <w:t xml:space="preserve"> Le montant </w:t>
      </w:r>
      <w:r>
        <w:rPr>
          <w:sz w:val="20"/>
          <w:szCs w:val="20"/>
        </w:rPr>
        <w:t>encaissé en 202</w:t>
      </w:r>
      <w:r w:rsidR="00B50701">
        <w:rPr>
          <w:sz w:val="20"/>
          <w:szCs w:val="20"/>
        </w:rPr>
        <w:t xml:space="preserve">3 est de 87 640,52 </w:t>
      </w:r>
      <w:r w:rsidR="00417559">
        <w:rPr>
          <w:sz w:val="20"/>
          <w:szCs w:val="20"/>
        </w:rPr>
        <w:t xml:space="preserve">€ </w:t>
      </w:r>
      <w:r w:rsidR="00B50701">
        <w:rPr>
          <w:sz w:val="20"/>
          <w:szCs w:val="20"/>
        </w:rPr>
        <w:t>contre</w:t>
      </w:r>
      <w:r w:rsidR="00C67620">
        <w:rPr>
          <w:sz w:val="20"/>
          <w:szCs w:val="20"/>
        </w:rPr>
        <w:t xml:space="preserve"> 60 270,08 €</w:t>
      </w:r>
      <w:r w:rsidR="00B50701">
        <w:rPr>
          <w:sz w:val="20"/>
          <w:szCs w:val="20"/>
        </w:rPr>
        <w:t xml:space="preserve"> en 2022.</w:t>
      </w:r>
      <w:r w:rsidR="001F4833" w:rsidRPr="00634A8E">
        <w:rPr>
          <w:sz w:val="20"/>
          <w:szCs w:val="20"/>
        </w:rPr>
        <w:t xml:space="preserve"> </w:t>
      </w:r>
      <w:r w:rsidR="00634A8E" w:rsidRPr="00634A8E">
        <w:rPr>
          <w:sz w:val="20"/>
          <w:szCs w:val="20"/>
        </w:rPr>
        <w:t>En augmentation du fait de la location des cellules de la maison médicale toute l'année.</w:t>
      </w:r>
    </w:p>
    <w:p w14:paraId="565F4ACC" w14:textId="77777777" w:rsidR="00C97388" w:rsidRPr="00634A8E" w:rsidRDefault="00C97388" w:rsidP="00830187">
      <w:pPr>
        <w:spacing w:after="0" w:line="240" w:lineRule="auto"/>
        <w:jc w:val="both"/>
        <w:rPr>
          <w:sz w:val="20"/>
          <w:szCs w:val="20"/>
        </w:rPr>
      </w:pPr>
    </w:p>
    <w:p w14:paraId="20C56208" w14:textId="77777777" w:rsidR="007B7FFA" w:rsidRPr="007B7FFA" w:rsidRDefault="007B7FFA" w:rsidP="007B7FFA">
      <w:pPr>
        <w:pStyle w:val="Paragraphedeliste"/>
        <w:spacing w:after="0" w:line="240" w:lineRule="auto"/>
        <w:jc w:val="both"/>
        <w:rPr>
          <w:b/>
          <w:bCs/>
          <w:sz w:val="20"/>
          <w:szCs w:val="20"/>
          <w:u w:val="single"/>
        </w:rPr>
      </w:pPr>
      <w:r w:rsidRPr="007B7FFA">
        <w:rPr>
          <w:b/>
          <w:bCs/>
          <w:sz w:val="20"/>
          <w:szCs w:val="20"/>
          <w:u w:val="single"/>
        </w:rPr>
        <w:t xml:space="preserve">6) Les </w:t>
      </w:r>
      <w:r>
        <w:rPr>
          <w:b/>
          <w:bCs/>
          <w:sz w:val="20"/>
          <w:szCs w:val="20"/>
          <w:u w:val="single"/>
        </w:rPr>
        <w:t xml:space="preserve">produits exceptionnels </w:t>
      </w:r>
      <w:r w:rsidRPr="007B7FFA">
        <w:rPr>
          <w:b/>
          <w:bCs/>
          <w:sz w:val="20"/>
          <w:szCs w:val="20"/>
          <w:u w:val="single"/>
        </w:rPr>
        <w:t xml:space="preserve">(chapitre 77) </w:t>
      </w:r>
    </w:p>
    <w:p w14:paraId="4F4E924A" w14:textId="6D66260A" w:rsidR="007B7FFA" w:rsidRDefault="007B7FFA" w:rsidP="00830187">
      <w:pPr>
        <w:spacing w:after="0" w:line="240" w:lineRule="auto"/>
        <w:jc w:val="both"/>
        <w:rPr>
          <w:color w:val="7030A0"/>
          <w:sz w:val="20"/>
          <w:szCs w:val="20"/>
        </w:rPr>
      </w:pPr>
      <w:r>
        <w:rPr>
          <w:sz w:val="20"/>
          <w:szCs w:val="20"/>
        </w:rPr>
        <w:t xml:space="preserve">Le montant des recettes exceptionnelles s’élève à </w:t>
      </w:r>
      <w:r w:rsidR="004315CE">
        <w:rPr>
          <w:sz w:val="20"/>
          <w:szCs w:val="20"/>
        </w:rPr>
        <w:t>7</w:t>
      </w:r>
      <w:r w:rsidR="001F4833" w:rsidRPr="00ED5CDF">
        <w:rPr>
          <w:sz w:val="20"/>
          <w:szCs w:val="20"/>
        </w:rPr>
        <w:t xml:space="preserve"> </w:t>
      </w:r>
      <w:r w:rsidR="004315CE">
        <w:rPr>
          <w:sz w:val="20"/>
          <w:szCs w:val="20"/>
        </w:rPr>
        <w:t>434</w:t>
      </w:r>
      <w:r w:rsidR="001F4833" w:rsidRPr="00ED5CDF">
        <w:rPr>
          <w:sz w:val="20"/>
          <w:szCs w:val="20"/>
        </w:rPr>
        <w:t>,</w:t>
      </w:r>
      <w:r w:rsidR="004315CE">
        <w:rPr>
          <w:sz w:val="20"/>
          <w:szCs w:val="20"/>
        </w:rPr>
        <w:t>86</w:t>
      </w:r>
      <w:r w:rsidR="001F4833" w:rsidRPr="00ED5CDF">
        <w:rPr>
          <w:sz w:val="20"/>
          <w:szCs w:val="20"/>
        </w:rPr>
        <w:t xml:space="preserve"> </w:t>
      </w:r>
      <w:r w:rsidRPr="00ED5CDF">
        <w:rPr>
          <w:sz w:val="20"/>
          <w:szCs w:val="20"/>
        </w:rPr>
        <w:t xml:space="preserve">€. </w:t>
      </w:r>
      <w:r>
        <w:rPr>
          <w:sz w:val="20"/>
          <w:szCs w:val="20"/>
        </w:rPr>
        <w:t xml:space="preserve">Il correspond </w:t>
      </w:r>
      <w:r w:rsidR="003440AF">
        <w:rPr>
          <w:color w:val="7030A0"/>
          <w:sz w:val="20"/>
          <w:szCs w:val="20"/>
        </w:rPr>
        <w:t>:</w:t>
      </w:r>
    </w:p>
    <w:p w14:paraId="7840C17E" w14:textId="37E81707" w:rsidR="003440AF" w:rsidRDefault="003440AF" w:rsidP="003440AF">
      <w:pPr>
        <w:tabs>
          <w:tab w:val="left" w:pos="284"/>
        </w:tabs>
        <w:spacing w:after="0" w:line="240" w:lineRule="auto"/>
        <w:jc w:val="both"/>
        <w:rPr>
          <w:sz w:val="20"/>
          <w:szCs w:val="20"/>
        </w:rPr>
      </w:pPr>
      <w:r w:rsidRPr="003440AF">
        <w:rPr>
          <w:sz w:val="20"/>
          <w:szCs w:val="20"/>
        </w:rPr>
        <w:t>-</w:t>
      </w:r>
      <w:r w:rsidRPr="003440AF">
        <w:rPr>
          <w:sz w:val="20"/>
          <w:szCs w:val="20"/>
        </w:rPr>
        <w:tab/>
        <w:t>Aux remboursement</w:t>
      </w:r>
      <w:r>
        <w:rPr>
          <w:sz w:val="20"/>
          <w:szCs w:val="20"/>
        </w:rPr>
        <w:t>s</w:t>
      </w:r>
      <w:r w:rsidRPr="003440AF">
        <w:rPr>
          <w:sz w:val="20"/>
          <w:szCs w:val="20"/>
        </w:rPr>
        <w:t xml:space="preserve"> des assurances </w:t>
      </w:r>
      <w:r>
        <w:rPr>
          <w:sz w:val="20"/>
          <w:szCs w:val="20"/>
        </w:rPr>
        <w:t xml:space="preserve">suite à sinistres </w:t>
      </w:r>
      <w:r w:rsidR="009D2669">
        <w:rPr>
          <w:sz w:val="20"/>
          <w:szCs w:val="20"/>
        </w:rPr>
        <w:t>et autres</w:t>
      </w:r>
      <w:r w:rsidR="00AB764F">
        <w:rPr>
          <w:sz w:val="20"/>
          <w:szCs w:val="20"/>
        </w:rPr>
        <w:t xml:space="preserve"> produits exceptionnels</w:t>
      </w:r>
      <w:r w:rsidR="009D2669">
        <w:rPr>
          <w:sz w:val="20"/>
          <w:szCs w:val="20"/>
        </w:rPr>
        <w:t xml:space="preserve"> </w:t>
      </w:r>
      <w:r>
        <w:rPr>
          <w:sz w:val="20"/>
          <w:szCs w:val="20"/>
        </w:rPr>
        <w:t xml:space="preserve">: </w:t>
      </w:r>
      <w:r w:rsidR="009D2669">
        <w:rPr>
          <w:sz w:val="20"/>
          <w:szCs w:val="20"/>
        </w:rPr>
        <w:t>6 684,35</w:t>
      </w:r>
      <w:r>
        <w:rPr>
          <w:sz w:val="20"/>
          <w:szCs w:val="20"/>
        </w:rPr>
        <w:t xml:space="preserve"> €</w:t>
      </w:r>
    </w:p>
    <w:p w14:paraId="075A1880" w14:textId="7148C8CD" w:rsidR="003440AF" w:rsidRDefault="003440AF" w:rsidP="003440AF">
      <w:pPr>
        <w:tabs>
          <w:tab w:val="left" w:pos="284"/>
        </w:tabs>
        <w:spacing w:after="0" w:line="240" w:lineRule="auto"/>
        <w:jc w:val="both"/>
        <w:rPr>
          <w:sz w:val="20"/>
          <w:szCs w:val="20"/>
        </w:rPr>
      </w:pPr>
      <w:r>
        <w:rPr>
          <w:sz w:val="20"/>
          <w:szCs w:val="20"/>
        </w:rPr>
        <w:t>-</w:t>
      </w:r>
      <w:r>
        <w:rPr>
          <w:sz w:val="20"/>
          <w:szCs w:val="20"/>
        </w:rPr>
        <w:tab/>
      </w:r>
      <w:r w:rsidR="00FF24B0">
        <w:rPr>
          <w:sz w:val="20"/>
          <w:szCs w:val="20"/>
        </w:rPr>
        <w:t>Aux mandats annulés sur exercice antérieur</w:t>
      </w:r>
      <w:r>
        <w:rPr>
          <w:sz w:val="20"/>
          <w:szCs w:val="20"/>
        </w:rPr>
        <w:t xml:space="preserve"> : </w:t>
      </w:r>
      <w:r w:rsidR="009D2669">
        <w:rPr>
          <w:sz w:val="20"/>
          <w:szCs w:val="20"/>
        </w:rPr>
        <w:t>750</w:t>
      </w:r>
      <w:r>
        <w:rPr>
          <w:sz w:val="20"/>
          <w:szCs w:val="20"/>
        </w:rPr>
        <w:t>,</w:t>
      </w:r>
      <w:r w:rsidR="009D2669">
        <w:rPr>
          <w:sz w:val="20"/>
          <w:szCs w:val="20"/>
        </w:rPr>
        <w:t>51</w:t>
      </w:r>
      <w:r>
        <w:rPr>
          <w:sz w:val="20"/>
          <w:szCs w:val="20"/>
        </w:rPr>
        <w:t xml:space="preserve"> €</w:t>
      </w:r>
    </w:p>
    <w:p w14:paraId="144F025E" w14:textId="77777777" w:rsidR="007B7FFA" w:rsidRDefault="007B7FFA" w:rsidP="00CE2FEE">
      <w:pPr>
        <w:spacing w:after="0" w:line="240" w:lineRule="auto"/>
      </w:pPr>
    </w:p>
    <w:p w14:paraId="361A8FB0" w14:textId="77777777" w:rsidR="007B7FFA" w:rsidRPr="007B7FFA" w:rsidRDefault="007B7FFA" w:rsidP="007B7FFA">
      <w:pPr>
        <w:pStyle w:val="Paragraphedeliste"/>
        <w:spacing w:after="0" w:line="240" w:lineRule="auto"/>
        <w:jc w:val="both"/>
        <w:rPr>
          <w:b/>
          <w:bCs/>
          <w:sz w:val="20"/>
          <w:szCs w:val="20"/>
          <w:u w:val="single"/>
        </w:rPr>
      </w:pPr>
      <w:r>
        <w:rPr>
          <w:b/>
          <w:bCs/>
          <w:sz w:val="20"/>
          <w:szCs w:val="20"/>
          <w:u w:val="single"/>
        </w:rPr>
        <w:t>7</w:t>
      </w:r>
      <w:r w:rsidRPr="007B7FFA">
        <w:rPr>
          <w:b/>
          <w:bCs/>
          <w:sz w:val="20"/>
          <w:szCs w:val="20"/>
          <w:u w:val="single"/>
        </w:rPr>
        <w:t xml:space="preserve">) </w:t>
      </w:r>
      <w:r w:rsidR="00FB3E75">
        <w:rPr>
          <w:b/>
          <w:bCs/>
          <w:sz w:val="20"/>
          <w:szCs w:val="20"/>
          <w:u w:val="single"/>
        </w:rPr>
        <w:t xml:space="preserve">Atténuations de charges </w:t>
      </w:r>
      <w:r w:rsidRPr="007B7FFA">
        <w:rPr>
          <w:b/>
          <w:bCs/>
          <w:sz w:val="20"/>
          <w:szCs w:val="20"/>
          <w:u w:val="single"/>
        </w:rPr>
        <w:t xml:space="preserve">(chapitre </w:t>
      </w:r>
      <w:r w:rsidR="00FB3E75">
        <w:rPr>
          <w:b/>
          <w:bCs/>
          <w:sz w:val="20"/>
          <w:szCs w:val="20"/>
          <w:u w:val="single"/>
        </w:rPr>
        <w:t>013</w:t>
      </w:r>
      <w:r w:rsidRPr="007B7FFA">
        <w:rPr>
          <w:b/>
          <w:bCs/>
          <w:sz w:val="20"/>
          <w:szCs w:val="20"/>
          <w:u w:val="single"/>
        </w:rPr>
        <w:t xml:space="preserve">) </w:t>
      </w:r>
    </w:p>
    <w:p w14:paraId="34072DFA" w14:textId="09E77B3D" w:rsidR="00C97388" w:rsidRDefault="00FB3E75" w:rsidP="00D36A1A">
      <w:pPr>
        <w:jc w:val="both"/>
        <w:rPr>
          <w:sz w:val="20"/>
          <w:szCs w:val="20"/>
        </w:rPr>
      </w:pPr>
      <w:r w:rsidRPr="008A0121">
        <w:rPr>
          <w:sz w:val="20"/>
          <w:szCs w:val="20"/>
        </w:rPr>
        <w:t xml:space="preserve">Le remboursement des frais de personnel s’est élevé à </w:t>
      </w:r>
      <w:r w:rsidR="00D36A1A">
        <w:rPr>
          <w:sz w:val="20"/>
          <w:szCs w:val="20"/>
        </w:rPr>
        <w:t>112</w:t>
      </w:r>
      <w:r w:rsidR="00BF09E9" w:rsidRPr="008A0121">
        <w:rPr>
          <w:sz w:val="20"/>
          <w:szCs w:val="20"/>
        </w:rPr>
        <w:t xml:space="preserve"> </w:t>
      </w:r>
      <w:r w:rsidR="00D36A1A">
        <w:rPr>
          <w:sz w:val="20"/>
          <w:szCs w:val="20"/>
        </w:rPr>
        <w:t>012</w:t>
      </w:r>
      <w:r w:rsidR="00BF09E9" w:rsidRPr="008A0121">
        <w:rPr>
          <w:sz w:val="20"/>
          <w:szCs w:val="20"/>
        </w:rPr>
        <w:t>,31</w:t>
      </w:r>
      <w:r w:rsidR="00C36481" w:rsidRPr="008A0121">
        <w:rPr>
          <w:i/>
          <w:iCs/>
          <w:sz w:val="20"/>
          <w:szCs w:val="20"/>
        </w:rPr>
        <w:t xml:space="preserve"> </w:t>
      </w:r>
      <w:r w:rsidRPr="008A0121">
        <w:rPr>
          <w:sz w:val="20"/>
          <w:szCs w:val="20"/>
        </w:rPr>
        <w:t>€. C</w:t>
      </w:r>
      <w:r w:rsidR="000C2AAF" w:rsidRPr="008A0121">
        <w:rPr>
          <w:sz w:val="20"/>
          <w:szCs w:val="20"/>
        </w:rPr>
        <w:t>ette</w:t>
      </w:r>
      <w:r w:rsidRPr="008A0121">
        <w:rPr>
          <w:sz w:val="20"/>
          <w:szCs w:val="20"/>
        </w:rPr>
        <w:t xml:space="preserve"> somme concerne le remboursement des salaires par notre assureur pour les agents en arrêts maladie</w:t>
      </w:r>
      <w:r w:rsidR="00BF09E9" w:rsidRPr="008A0121">
        <w:rPr>
          <w:sz w:val="20"/>
          <w:szCs w:val="20"/>
        </w:rPr>
        <w:t xml:space="preserve"> pour accident de service ou suite à une reconnaissance de maladie professionnelle</w:t>
      </w:r>
      <w:r w:rsidRPr="008A0121">
        <w:rPr>
          <w:sz w:val="20"/>
          <w:szCs w:val="20"/>
        </w:rPr>
        <w:t>.</w:t>
      </w:r>
    </w:p>
    <w:p w14:paraId="2BDBBDAF" w14:textId="77777777" w:rsidR="000F3486" w:rsidRDefault="000F3486" w:rsidP="00D36A1A">
      <w:pPr>
        <w:jc w:val="both"/>
        <w:rPr>
          <w:sz w:val="20"/>
          <w:szCs w:val="20"/>
        </w:rPr>
      </w:pPr>
    </w:p>
    <w:p w14:paraId="7056B584" w14:textId="77777777" w:rsidR="000F3486" w:rsidRDefault="000F3486" w:rsidP="00D36A1A">
      <w:pPr>
        <w:jc w:val="both"/>
        <w:rPr>
          <w:sz w:val="20"/>
          <w:szCs w:val="20"/>
        </w:rPr>
      </w:pPr>
    </w:p>
    <w:p w14:paraId="14BA0838" w14:textId="77777777" w:rsidR="000F3486" w:rsidRDefault="000F3486" w:rsidP="00D36A1A">
      <w:pPr>
        <w:jc w:val="both"/>
        <w:rPr>
          <w:sz w:val="20"/>
          <w:szCs w:val="20"/>
        </w:rPr>
      </w:pPr>
    </w:p>
    <w:p w14:paraId="27F31B94" w14:textId="77777777" w:rsidR="000F3486" w:rsidRDefault="000F3486" w:rsidP="00D36A1A">
      <w:pPr>
        <w:jc w:val="both"/>
        <w:rPr>
          <w:sz w:val="20"/>
          <w:szCs w:val="20"/>
        </w:rPr>
      </w:pPr>
    </w:p>
    <w:p w14:paraId="22B1E3CB" w14:textId="77777777" w:rsidR="000F3486" w:rsidRPr="008A0121" w:rsidRDefault="000F3486" w:rsidP="00D36A1A">
      <w:pPr>
        <w:jc w:val="both"/>
        <w:rPr>
          <w:sz w:val="20"/>
          <w:szCs w:val="20"/>
        </w:rPr>
      </w:pPr>
    </w:p>
    <w:p w14:paraId="127B9DE6" w14:textId="77777777" w:rsidR="00041CA5" w:rsidRPr="007B7FFA" w:rsidRDefault="00041CA5" w:rsidP="00041CA5">
      <w:pPr>
        <w:jc w:val="center"/>
        <w:rPr>
          <w:b/>
          <w:bCs/>
          <w:sz w:val="20"/>
          <w:szCs w:val="20"/>
        </w:rPr>
      </w:pPr>
      <w:r w:rsidRPr="007B7FFA">
        <w:rPr>
          <w:b/>
          <w:bCs/>
          <w:sz w:val="20"/>
          <w:szCs w:val="20"/>
        </w:rPr>
        <w:lastRenderedPageBreak/>
        <w:t xml:space="preserve">Récapitulatif des </w:t>
      </w:r>
      <w:r>
        <w:rPr>
          <w:b/>
          <w:bCs/>
          <w:sz w:val="20"/>
          <w:szCs w:val="20"/>
        </w:rPr>
        <w:t>recettes</w:t>
      </w:r>
      <w:r w:rsidRPr="007B7FFA">
        <w:rPr>
          <w:b/>
          <w:bCs/>
          <w:sz w:val="20"/>
          <w:szCs w:val="20"/>
        </w:rPr>
        <w:t xml:space="preserve"> de fonctionnement</w:t>
      </w:r>
    </w:p>
    <w:tbl>
      <w:tblPr>
        <w:tblW w:w="10262" w:type="dxa"/>
        <w:jc w:val="center"/>
        <w:tblCellMar>
          <w:left w:w="70" w:type="dxa"/>
          <w:right w:w="70" w:type="dxa"/>
        </w:tblCellMar>
        <w:tblLook w:val="04A0" w:firstRow="1" w:lastRow="0" w:firstColumn="1" w:lastColumn="0" w:noHBand="0" w:noVBand="1"/>
      </w:tblPr>
      <w:tblGrid>
        <w:gridCol w:w="1020"/>
        <w:gridCol w:w="180"/>
        <w:gridCol w:w="1740"/>
        <w:gridCol w:w="1368"/>
        <w:gridCol w:w="372"/>
        <w:gridCol w:w="989"/>
        <w:gridCol w:w="671"/>
        <w:gridCol w:w="690"/>
        <w:gridCol w:w="750"/>
        <w:gridCol w:w="611"/>
        <w:gridCol w:w="1871"/>
      </w:tblGrid>
      <w:tr w:rsidR="00BD667E" w:rsidRPr="00FB3E75" w14:paraId="66BF2173" w14:textId="77777777" w:rsidTr="00E3556A">
        <w:trPr>
          <w:trHeight w:val="737"/>
          <w:jc w:val="center"/>
        </w:trPr>
        <w:tc>
          <w:tcPr>
            <w:tcW w:w="1020" w:type="dxa"/>
            <w:tcBorders>
              <w:top w:val="single" w:sz="8" w:space="0" w:color="auto"/>
              <w:left w:val="single" w:sz="8" w:space="0" w:color="auto"/>
              <w:bottom w:val="single" w:sz="8" w:space="0" w:color="auto"/>
              <w:right w:val="single" w:sz="8" w:space="0" w:color="auto"/>
            </w:tcBorders>
            <w:shd w:val="clear" w:color="000000" w:fill="D9D9D9" w:themeFill="background1" w:themeFillShade="D9"/>
            <w:vAlign w:val="center"/>
            <w:hideMark/>
          </w:tcPr>
          <w:p w14:paraId="2B653E5F" w14:textId="77777777" w:rsidR="00BD667E" w:rsidRPr="00FB3E75" w:rsidRDefault="00BD667E" w:rsidP="00BD667E">
            <w:pPr>
              <w:spacing w:after="0" w:line="240" w:lineRule="auto"/>
              <w:jc w:val="center"/>
              <w:rPr>
                <w:rFonts w:ascii="Calibri" w:eastAsia="Times New Roman" w:hAnsi="Calibri" w:cs="Times New Roman"/>
                <w:color w:val="000000"/>
                <w:lang w:eastAsia="fr-FR"/>
              </w:rPr>
            </w:pPr>
            <w:r w:rsidRPr="00FB3E75">
              <w:rPr>
                <w:rFonts w:ascii="Calibri" w:eastAsia="Times New Roman" w:hAnsi="Calibri" w:cs="Times New Roman"/>
                <w:color w:val="000000"/>
                <w:lang w:eastAsia="fr-FR"/>
              </w:rPr>
              <w:t>Chapitres</w:t>
            </w:r>
          </w:p>
        </w:tc>
        <w:tc>
          <w:tcPr>
            <w:tcW w:w="3288" w:type="dxa"/>
            <w:gridSpan w:val="3"/>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661696BB" w14:textId="77777777" w:rsidR="00BD667E" w:rsidRPr="00FB3E75" w:rsidRDefault="00BD667E" w:rsidP="00BD667E">
            <w:pPr>
              <w:spacing w:after="0" w:line="240" w:lineRule="auto"/>
              <w:jc w:val="center"/>
              <w:rPr>
                <w:rFonts w:ascii="Calibri" w:eastAsia="Times New Roman" w:hAnsi="Calibri" w:cs="Times New Roman"/>
                <w:color w:val="000000"/>
                <w:lang w:eastAsia="fr-FR"/>
              </w:rPr>
            </w:pPr>
            <w:r w:rsidRPr="00FB3E75">
              <w:rPr>
                <w:rFonts w:ascii="Calibri" w:eastAsia="Times New Roman" w:hAnsi="Calibri" w:cs="Times New Roman"/>
                <w:color w:val="000000"/>
                <w:lang w:eastAsia="fr-FR"/>
              </w:rPr>
              <w:t>Intitulés</w:t>
            </w:r>
          </w:p>
        </w:tc>
        <w:tc>
          <w:tcPr>
            <w:tcW w:w="1361" w:type="dxa"/>
            <w:gridSpan w:val="2"/>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0BA16412" w14:textId="5CEE4B8D" w:rsidR="00BD667E" w:rsidRPr="00FB3E75" w:rsidRDefault="00BD667E" w:rsidP="00BD667E">
            <w:pPr>
              <w:spacing w:after="0" w:line="240" w:lineRule="auto"/>
              <w:jc w:val="center"/>
              <w:rPr>
                <w:rFonts w:ascii="Calibri" w:eastAsia="Times New Roman" w:hAnsi="Calibri" w:cs="Times New Roman"/>
                <w:color w:val="000000"/>
                <w:lang w:eastAsia="fr-FR"/>
              </w:rPr>
            </w:pPr>
            <w:r w:rsidRPr="00FB3E75">
              <w:rPr>
                <w:rFonts w:ascii="Calibri" w:eastAsia="Times New Roman" w:hAnsi="Calibri" w:cs="Times New Roman"/>
                <w:color w:val="000000"/>
                <w:lang w:eastAsia="fr-FR"/>
              </w:rPr>
              <w:t>CA 20</w:t>
            </w:r>
            <w:r>
              <w:rPr>
                <w:rFonts w:ascii="Calibri" w:eastAsia="Times New Roman" w:hAnsi="Calibri" w:cs="Times New Roman"/>
                <w:color w:val="000000"/>
                <w:lang w:eastAsia="fr-FR"/>
              </w:rPr>
              <w:t>21</w:t>
            </w:r>
          </w:p>
        </w:tc>
        <w:tc>
          <w:tcPr>
            <w:tcW w:w="1361" w:type="dxa"/>
            <w:gridSpan w:val="2"/>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4988BBBD" w14:textId="07F907BA" w:rsidR="00BD667E" w:rsidRPr="00FB3E75" w:rsidRDefault="00BD667E" w:rsidP="00BD667E">
            <w:pPr>
              <w:spacing w:after="0" w:line="240" w:lineRule="auto"/>
              <w:jc w:val="center"/>
              <w:rPr>
                <w:rFonts w:ascii="Calibri" w:eastAsia="Times New Roman" w:hAnsi="Calibri" w:cs="Times New Roman"/>
                <w:color w:val="000000"/>
                <w:lang w:eastAsia="fr-FR"/>
              </w:rPr>
            </w:pPr>
            <w:r w:rsidRPr="00FB3E75">
              <w:rPr>
                <w:rFonts w:ascii="Calibri" w:eastAsia="Times New Roman" w:hAnsi="Calibri" w:cs="Times New Roman"/>
                <w:color w:val="000000"/>
                <w:lang w:eastAsia="fr-FR"/>
              </w:rPr>
              <w:t>CA 202</w:t>
            </w:r>
            <w:r>
              <w:rPr>
                <w:rFonts w:ascii="Calibri" w:eastAsia="Times New Roman" w:hAnsi="Calibri" w:cs="Times New Roman"/>
                <w:color w:val="000000"/>
                <w:lang w:eastAsia="fr-FR"/>
              </w:rPr>
              <w:t>2</w:t>
            </w:r>
          </w:p>
        </w:tc>
        <w:tc>
          <w:tcPr>
            <w:tcW w:w="1361" w:type="dxa"/>
            <w:gridSpan w:val="2"/>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1D971A27" w14:textId="3F35B9B1" w:rsidR="00BD667E" w:rsidRPr="00FB3E75" w:rsidRDefault="00BD667E" w:rsidP="00BD667E">
            <w:pPr>
              <w:spacing w:after="0" w:line="240" w:lineRule="auto"/>
              <w:jc w:val="center"/>
              <w:rPr>
                <w:rFonts w:ascii="Calibri" w:eastAsia="Times New Roman" w:hAnsi="Calibri" w:cs="Times New Roman"/>
                <w:color w:val="000000"/>
                <w:lang w:eastAsia="fr-FR"/>
              </w:rPr>
            </w:pPr>
            <w:r w:rsidRPr="00FB3E75">
              <w:rPr>
                <w:rFonts w:ascii="Calibri" w:eastAsia="Times New Roman" w:hAnsi="Calibri" w:cs="Times New Roman"/>
                <w:color w:val="000000"/>
                <w:lang w:eastAsia="fr-FR"/>
              </w:rPr>
              <w:t>CA 202</w:t>
            </w:r>
            <w:r>
              <w:rPr>
                <w:rFonts w:ascii="Calibri" w:eastAsia="Times New Roman" w:hAnsi="Calibri" w:cs="Times New Roman"/>
                <w:color w:val="000000"/>
                <w:lang w:eastAsia="fr-FR"/>
              </w:rPr>
              <w:t>3</w:t>
            </w:r>
          </w:p>
        </w:tc>
        <w:tc>
          <w:tcPr>
            <w:tcW w:w="1871" w:type="dxa"/>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48D31180" w14:textId="77777777" w:rsidR="00BD667E" w:rsidRDefault="00BD667E" w:rsidP="00BD667E">
            <w:pPr>
              <w:spacing w:after="0" w:line="240" w:lineRule="auto"/>
              <w:jc w:val="center"/>
              <w:rPr>
                <w:rFonts w:ascii="Calibri" w:eastAsia="Times New Roman" w:hAnsi="Calibri" w:cs="Times New Roman"/>
                <w:color w:val="000000"/>
                <w:lang w:eastAsia="fr-FR"/>
              </w:rPr>
            </w:pPr>
            <w:r w:rsidRPr="00FB3E75">
              <w:rPr>
                <w:rFonts w:ascii="Calibri" w:eastAsia="Times New Roman" w:hAnsi="Calibri" w:cs="Times New Roman"/>
                <w:color w:val="000000"/>
                <w:lang w:eastAsia="fr-FR"/>
              </w:rPr>
              <w:t>Variation</w:t>
            </w:r>
            <w:r>
              <w:rPr>
                <w:rFonts w:ascii="Calibri" w:eastAsia="Times New Roman" w:hAnsi="Calibri" w:cs="Times New Roman"/>
                <w:color w:val="000000"/>
                <w:lang w:eastAsia="fr-FR"/>
              </w:rPr>
              <w:t xml:space="preserve"> </w:t>
            </w:r>
          </w:p>
          <w:p w14:paraId="64533257" w14:textId="5B0C348B" w:rsidR="00BD667E" w:rsidRPr="00FB3E75" w:rsidRDefault="00BD667E" w:rsidP="00BD667E">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entre 2022 et 2023</w:t>
            </w:r>
          </w:p>
        </w:tc>
      </w:tr>
      <w:tr w:rsidR="00BD667E" w:rsidRPr="00FB3E75" w14:paraId="5DA8A401" w14:textId="77777777" w:rsidTr="006C2C87">
        <w:trPr>
          <w:trHeight w:val="397"/>
          <w:jc w:val="center"/>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4D731D8E" w14:textId="77777777"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R002</w:t>
            </w:r>
          </w:p>
        </w:tc>
        <w:tc>
          <w:tcPr>
            <w:tcW w:w="3288" w:type="dxa"/>
            <w:gridSpan w:val="3"/>
            <w:tcBorders>
              <w:top w:val="nil"/>
              <w:left w:val="nil"/>
              <w:bottom w:val="single" w:sz="8" w:space="0" w:color="auto"/>
              <w:right w:val="single" w:sz="8" w:space="0" w:color="auto"/>
            </w:tcBorders>
            <w:shd w:val="clear" w:color="auto" w:fill="auto"/>
            <w:vAlign w:val="center"/>
            <w:hideMark/>
          </w:tcPr>
          <w:p w14:paraId="5441B630" w14:textId="77777777" w:rsidR="00BD667E" w:rsidRPr="00125B33" w:rsidRDefault="00BD667E" w:rsidP="00BD667E">
            <w:pPr>
              <w:spacing w:after="0" w:line="240" w:lineRule="auto"/>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Excédent de fonctionnement reporté</w:t>
            </w:r>
          </w:p>
        </w:tc>
        <w:tc>
          <w:tcPr>
            <w:tcW w:w="1361" w:type="dxa"/>
            <w:gridSpan w:val="2"/>
            <w:tcBorders>
              <w:top w:val="nil"/>
              <w:left w:val="nil"/>
              <w:bottom w:val="single" w:sz="8" w:space="0" w:color="auto"/>
              <w:right w:val="single" w:sz="8" w:space="0" w:color="auto"/>
            </w:tcBorders>
            <w:shd w:val="clear" w:color="auto" w:fill="auto"/>
            <w:vAlign w:val="center"/>
          </w:tcPr>
          <w:p w14:paraId="77F734F6" w14:textId="5AFBEB2A"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576 169,05</w:t>
            </w:r>
          </w:p>
        </w:tc>
        <w:tc>
          <w:tcPr>
            <w:tcW w:w="1361" w:type="dxa"/>
            <w:gridSpan w:val="2"/>
            <w:tcBorders>
              <w:top w:val="nil"/>
              <w:left w:val="nil"/>
              <w:bottom w:val="single" w:sz="8" w:space="0" w:color="auto"/>
              <w:right w:val="single" w:sz="8" w:space="0" w:color="auto"/>
            </w:tcBorders>
            <w:shd w:val="clear" w:color="auto" w:fill="auto"/>
            <w:vAlign w:val="center"/>
          </w:tcPr>
          <w:p w14:paraId="61B7C64A" w14:textId="569709C7"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613 035</w:t>
            </w:r>
            <w:r w:rsidRPr="00125B33">
              <w:rPr>
                <w:rFonts w:ascii="Calibri" w:eastAsia="Times New Roman" w:hAnsi="Calibri" w:cs="Times New Roman"/>
                <w:color w:val="000000"/>
                <w:sz w:val="20"/>
                <w:szCs w:val="20"/>
                <w:lang w:eastAsia="fr-FR"/>
              </w:rPr>
              <w:t>,6</w:t>
            </w:r>
            <w:r>
              <w:rPr>
                <w:rFonts w:ascii="Calibri" w:eastAsia="Times New Roman" w:hAnsi="Calibri" w:cs="Times New Roman"/>
                <w:color w:val="000000"/>
                <w:sz w:val="20"/>
                <w:szCs w:val="20"/>
                <w:lang w:eastAsia="fr-FR"/>
              </w:rPr>
              <w:t>3</w:t>
            </w:r>
          </w:p>
        </w:tc>
        <w:tc>
          <w:tcPr>
            <w:tcW w:w="1361" w:type="dxa"/>
            <w:gridSpan w:val="2"/>
            <w:tcBorders>
              <w:top w:val="nil"/>
              <w:left w:val="nil"/>
              <w:bottom w:val="single" w:sz="8" w:space="0" w:color="auto"/>
              <w:right w:val="single" w:sz="8" w:space="0" w:color="auto"/>
            </w:tcBorders>
            <w:shd w:val="clear" w:color="auto" w:fill="auto"/>
            <w:vAlign w:val="center"/>
          </w:tcPr>
          <w:p w14:paraId="623EE7B6" w14:textId="05FE4BA8"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1 165 27</w:t>
            </w:r>
            <w:r w:rsidR="00CC105D">
              <w:rPr>
                <w:rFonts w:ascii="Calibri" w:eastAsia="Times New Roman" w:hAnsi="Calibri" w:cs="Times New Roman"/>
                <w:color w:val="000000"/>
                <w:sz w:val="20"/>
                <w:szCs w:val="20"/>
                <w:lang w:eastAsia="fr-FR"/>
              </w:rPr>
              <w:t>8</w:t>
            </w:r>
            <w:r w:rsidRPr="00125B33">
              <w:rPr>
                <w:rFonts w:ascii="Calibri" w:eastAsia="Times New Roman" w:hAnsi="Calibri" w:cs="Times New Roman"/>
                <w:color w:val="000000"/>
                <w:sz w:val="20"/>
                <w:szCs w:val="20"/>
                <w:lang w:eastAsia="fr-FR"/>
              </w:rPr>
              <w:t>,</w:t>
            </w:r>
            <w:r>
              <w:rPr>
                <w:rFonts w:ascii="Calibri" w:eastAsia="Times New Roman" w:hAnsi="Calibri" w:cs="Times New Roman"/>
                <w:color w:val="000000"/>
                <w:sz w:val="20"/>
                <w:szCs w:val="20"/>
                <w:lang w:eastAsia="fr-FR"/>
              </w:rPr>
              <w:t>41</w:t>
            </w:r>
          </w:p>
        </w:tc>
        <w:tc>
          <w:tcPr>
            <w:tcW w:w="1871" w:type="dxa"/>
            <w:tcBorders>
              <w:top w:val="nil"/>
              <w:left w:val="nil"/>
              <w:bottom w:val="single" w:sz="8" w:space="0" w:color="auto"/>
              <w:right w:val="single" w:sz="8" w:space="0" w:color="auto"/>
            </w:tcBorders>
            <w:shd w:val="clear" w:color="auto" w:fill="auto"/>
            <w:vAlign w:val="center"/>
          </w:tcPr>
          <w:p w14:paraId="224C215D" w14:textId="75705985" w:rsidR="00BD667E" w:rsidRPr="00125B33" w:rsidRDefault="004541C7" w:rsidP="00BD667E">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90,08</w:t>
            </w:r>
            <w:r w:rsidR="00BD667E" w:rsidRPr="00125B33">
              <w:rPr>
                <w:rFonts w:ascii="Calibri" w:eastAsia="Times New Roman" w:hAnsi="Calibri" w:cs="Times New Roman"/>
                <w:color w:val="000000"/>
                <w:sz w:val="20"/>
                <w:szCs w:val="20"/>
                <w:lang w:eastAsia="fr-FR"/>
              </w:rPr>
              <w:t xml:space="preserve"> %</w:t>
            </w:r>
          </w:p>
        </w:tc>
      </w:tr>
      <w:tr w:rsidR="00BD667E" w:rsidRPr="00FB3E75" w14:paraId="17C9C623" w14:textId="77777777" w:rsidTr="006C2C87">
        <w:trPr>
          <w:trHeight w:val="397"/>
          <w:jc w:val="center"/>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29A8B58C" w14:textId="77777777"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013</w:t>
            </w:r>
          </w:p>
        </w:tc>
        <w:tc>
          <w:tcPr>
            <w:tcW w:w="3288" w:type="dxa"/>
            <w:gridSpan w:val="3"/>
            <w:tcBorders>
              <w:top w:val="nil"/>
              <w:left w:val="nil"/>
              <w:bottom w:val="single" w:sz="8" w:space="0" w:color="auto"/>
              <w:right w:val="single" w:sz="8" w:space="0" w:color="auto"/>
            </w:tcBorders>
            <w:shd w:val="clear" w:color="auto" w:fill="auto"/>
            <w:vAlign w:val="center"/>
            <w:hideMark/>
          </w:tcPr>
          <w:p w14:paraId="48498703" w14:textId="77777777" w:rsidR="00BD667E" w:rsidRPr="00125B33" w:rsidRDefault="00BD667E" w:rsidP="00BD667E">
            <w:pPr>
              <w:spacing w:after="0" w:line="240" w:lineRule="auto"/>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Atténuation de charges</w:t>
            </w:r>
          </w:p>
        </w:tc>
        <w:tc>
          <w:tcPr>
            <w:tcW w:w="1361" w:type="dxa"/>
            <w:gridSpan w:val="2"/>
            <w:tcBorders>
              <w:top w:val="nil"/>
              <w:left w:val="nil"/>
              <w:bottom w:val="single" w:sz="8" w:space="0" w:color="auto"/>
              <w:right w:val="single" w:sz="8" w:space="0" w:color="auto"/>
            </w:tcBorders>
            <w:shd w:val="clear" w:color="auto" w:fill="auto"/>
            <w:vAlign w:val="center"/>
          </w:tcPr>
          <w:p w14:paraId="47CD5F0C" w14:textId="0C03CB48"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137 164,81</w:t>
            </w:r>
          </w:p>
        </w:tc>
        <w:tc>
          <w:tcPr>
            <w:tcW w:w="1361" w:type="dxa"/>
            <w:gridSpan w:val="2"/>
            <w:tcBorders>
              <w:top w:val="nil"/>
              <w:left w:val="nil"/>
              <w:bottom w:val="single" w:sz="8" w:space="0" w:color="auto"/>
              <w:right w:val="single" w:sz="8" w:space="0" w:color="auto"/>
            </w:tcBorders>
            <w:shd w:val="clear" w:color="auto" w:fill="auto"/>
            <w:vAlign w:val="center"/>
          </w:tcPr>
          <w:p w14:paraId="2CC42AD9" w14:textId="0563AADF"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61 982,31</w:t>
            </w:r>
          </w:p>
        </w:tc>
        <w:tc>
          <w:tcPr>
            <w:tcW w:w="1361" w:type="dxa"/>
            <w:gridSpan w:val="2"/>
            <w:tcBorders>
              <w:top w:val="nil"/>
              <w:left w:val="nil"/>
              <w:bottom w:val="single" w:sz="8" w:space="0" w:color="auto"/>
              <w:right w:val="single" w:sz="8" w:space="0" w:color="auto"/>
            </w:tcBorders>
            <w:shd w:val="clear" w:color="auto" w:fill="auto"/>
            <w:vAlign w:val="center"/>
          </w:tcPr>
          <w:p w14:paraId="7CAC985A" w14:textId="6B9F97DC"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112 012,31</w:t>
            </w:r>
          </w:p>
        </w:tc>
        <w:tc>
          <w:tcPr>
            <w:tcW w:w="1871" w:type="dxa"/>
            <w:tcBorders>
              <w:top w:val="nil"/>
              <w:left w:val="nil"/>
              <w:bottom w:val="single" w:sz="8" w:space="0" w:color="auto"/>
              <w:right w:val="single" w:sz="8" w:space="0" w:color="auto"/>
            </w:tcBorders>
            <w:shd w:val="clear" w:color="auto" w:fill="auto"/>
            <w:vAlign w:val="center"/>
          </w:tcPr>
          <w:p w14:paraId="045DA684" w14:textId="168C0560" w:rsidR="00BD667E" w:rsidRPr="00125B33" w:rsidRDefault="00766E27" w:rsidP="00BD667E">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80</w:t>
            </w:r>
            <w:r w:rsidR="00BD667E" w:rsidRPr="00125B33">
              <w:rPr>
                <w:rFonts w:ascii="Calibri" w:eastAsia="Times New Roman" w:hAnsi="Calibri" w:cs="Times New Roman"/>
                <w:color w:val="000000"/>
                <w:sz w:val="20"/>
                <w:szCs w:val="20"/>
                <w:lang w:eastAsia="fr-FR"/>
              </w:rPr>
              <w:t>,</w:t>
            </w:r>
            <w:r>
              <w:rPr>
                <w:rFonts w:ascii="Calibri" w:eastAsia="Times New Roman" w:hAnsi="Calibri" w:cs="Times New Roman"/>
                <w:color w:val="000000"/>
                <w:sz w:val="20"/>
                <w:szCs w:val="20"/>
                <w:lang w:eastAsia="fr-FR"/>
              </w:rPr>
              <w:t xml:space="preserve">72 </w:t>
            </w:r>
            <w:r w:rsidR="00BD667E" w:rsidRPr="00125B33">
              <w:rPr>
                <w:rFonts w:ascii="Calibri" w:eastAsia="Times New Roman" w:hAnsi="Calibri" w:cs="Times New Roman"/>
                <w:color w:val="000000"/>
                <w:sz w:val="20"/>
                <w:szCs w:val="20"/>
                <w:lang w:eastAsia="fr-FR"/>
              </w:rPr>
              <w:t>%</w:t>
            </w:r>
          </w:p>
        </w:tc>
      </w:tr>
      <w:tr w:rsidR="00BD667E" w:rsidRPr="00FB3E75" w14:paraId="4F30A35F" w14:textId="77777777" w:rsidTr="006C2C87">
        <w:trPr>
          <w:trHeight w:val="397"/>
          <w:jc w:val="center"/>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32C2D853" w14:textId="77777777"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70</w:t>
            </w:r>
          </w:p>
        </w:tc>
        <w:tc>
          <w:tcPr>
            <w:tcW w:w="3288" w:type="dxa"/>
            <w:gridSpan w:val="3"/>
            <w:tcBorders>
              <w:top w:val="nil"/>
              <w:left w:val="nil"/>
              <w:bottom w:val="single" w:sz="8" w:space="0" w:color="auto"/>
              <w:right w:val="single" w:sz="8" w:space="0" w:color="auto"/>
            </w:tcBorders>
            <w:shd w:val="clear" w:color="auto" w:fill="auto"/>
            <w:vAlign w:val="center"/>
            <w:hideMark/>
          </w:tcPr>
          <w:p w14:paraId="77F1B70C" w14:textId="77777777" w:rsidR="00BD667E" w:rsidRPr="00125B33" w:rsidRDefault="00BD667E" w:rsidP="00BD667E">
            <w:pPr>
              <w:spacing w:after="0" w:line="240" w:lineRule="auto"/>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Produits des services</w:t>
            </w:r>
          </w:p>
        </w:tc>
        <w:tc>
          <w:tcPr>
            <w:tcW w:w="1361" w:type="dxa"/>
            <w:gridSpan w:val="2"/>
            <w:tcBorders>
              <w:top w:val="nil"/>
              <w:left w:val="nil"/>
              <w:bottom w:val="single" w:sz="8" w:space="0" w:color="auto"/>
              <w:right w:val="single" w:sz="8" w:space="0" w:color="auto"/>
            </w:tcBorders>
            <w:shd w:val="clear" w:color="auto" w:fill="auto"/>
            <w:vAlign w:val="center"/>
          </w:tcPr>
          <w:p w14:paraId="0F0851D5" w14:textId="1F151009"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106 528,31</w:t>
            </w:r>
          </w:p>
        </w:tc>
        <w:tc>
          <w:tcPr>
            <w:tcW w:w="1361" w:type="dxa"/>
            <w:gridSpan w:val="2"/>
            <w:tcBorders>
              <w:top w:val="nil"/>
              <w:left w:val="nil"/>
              <w:bottom w:val="single" w:sz="8" w:space="0" w:color="auto"/>
              <w:right w:val="single" w:sz="8" w:space="0" w:color="auto"/>
            </w:tcBorders>
            <w:shd w:val="clear" w:color="auto" w:fill="auto"/>
            <w:vAlign w:val="center"/>
          </w:tcPr>
          <w:p w14:paraId="4D37FF44" w14:textId="7875F452"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101 305,77</w:t>
            </w:r>
          </w:p>
        </w:tc>
        <w:tc>
          <w:tcPr>
            <w:tcW w:w="1361" w:type="dxa"/>
            <w:gridSpan w:val="2"/>
            <w:tcBorders>
              <w:top w:val="nil"/>
              <w:left w:val="nil"/>
              <w:bottom w:val="single" w:sz="8" w:space="0" w:color="auto"/>
              <w:right w:val="single" w:sz="8" w:space="0" w:color="auto"/>
            </w:tcBorders>
            <w:shd w:val="clear" w:color="auto" w:fill="auto"/>
            <w:vAlign w:val="center"/>
          </w:tcPr>
          <w:p w14:paraId="7848B7F4" w14:textId="7167E191"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122 603,61</w:t>
            </w:r>
          </w:p>
        </w:tc>
        <w:tc>
          <w:tcPr>
            <w:tcW w:w="1871" w:type="dxa"/>
            <w:tcBorders>
              <w:top w:val="nil"/>
              <w:left w:val="nil"/>
              <w:bottom w:val="single" w:sz="8" w:space="0" w:color="auto"/>
              <w:right w:val="single" w:sz="8" w:space="0" w:color="auto"/>
            </w:tcBorders>
            <w:shd w:val="clear" w:color="auto" w:fill="auto"/>
            <w:vAlign w:val="center"/>
          </w:tcPr>
          <w:p w14:paraId="00F4ECE4" w14:textId="1E105D62" w:rsidR="00BD667E" w:rsidRPr="00125B33" w:rsidRDefault="00766E27" w:rsidP="00BD667E">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21</w:t>
            </w:r>
            <w:r w:rsidR="00BD667E" w:rsidRPr="00125B33">
              <w:rPr>
                <w:rFonts w:ascii="Calibri" w:eastAsia="Times New Roman" w:hAnsi="Calibri" w:cs="Times New Roman"/>
                <w:color w:val="000000"/>
                <w:sz w:val="20"/>
                <w:szCs w:val="20"/>
                <w:lang w:eastAsia="fr-FR"/>
              </w:rPr>
              <w:t>,</w:t>
            </w:r>
            <w:r>
              <w:rPr>
                <w:rFonts w:ascii="Calibri" w:eastAsia="Times New Roman" w:hAnsi="Calibri" w:cs="Times New Roman"/>
                <w:color w:val="000000"/>
                <w:sz w:val="20"/>
                <w:szCs w:val="20"/>
                <w:lang w:eastAsia="fr-FR"/>
              </w:rPr>
              <w:t>02</w:t>
            </w:r>
            <w:r w:rsidR="00BD667E" w:rsidRPr="00125B33">
              <w:rPr>
                <w:rFonts w:ascii="Calibri" w:eastAsia="Times New Roman" w:hAnsi="Calibri" w:cs="Times New Roman"/>
                <w:color w:val="000000"/>
                <w:sz w:val="20"/>
                <w:szCs w:val="20"/>
                <w:lang w:eastAsia="fr-FR"/>
              </w:rPr>
              <w:t xml:space="preserve"> %</w:t>
            </w:r>
          </w:p>
        </w:tc>
      </w:tr>
      <w:tr w:rsidR="00BD667E" w:rsidRPr="00FB3E75" w14:paraId="683B14A5" w14:textId="77777777" w:rsidTr="006C2C87">
        <w:trPr>
          <w:trHeight w:val="397"/>
          <w:jc w:val="center"/>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17F8445D" w14:textId="77777777"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73</w:t>
            </w:r>
          </w:p>
        </w:tc>
        <w:tc>
          <w:tcPr>
            <w:tcW w:w="3288" w:type="dxa"/>
            <w:gridSpan w:val="3"/>
            <w:tcBorders>
              <w:top w:val="nil"/>
              <w:left w:val="nil"/>
              <w:bottom w:val="single" w:sz="8" w:space="0" w:color="auto"/>
              <w:right w:val="single" w:sz="8" w:space="0" w:color="auto"/>
            </w:tcBorders>
            <w:shd w:val="clear" w:color="auto" w:fill="auto"/>
            <w:vAlign w:val="center"/>
            <w:hideMark/>
          </w:tcPr>
          <w:p w14:paraId="2A63625A" w14:textId="77777777" w:rsidR="00BD667E" w:rsidRPr="00125B33" w:rsidRDefault="00BD667E" w:rsidP="00BD667E">
            <w:pPr>
              <w:spacing w:after="0" w:line="240" w:lineRule="auto"/>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Impôts et taxes</w:t>
            </w:r>
          </w:p>
        </w:tc>
        <w:tc>
          <w:tcPr>
            <w:tcW w:w="1361" w:type="dxa"/>
            <w:gridSpan w:val="2"/>
            <w:tcBorders>
              <w:top w:val="nil"/>
              <w:left w:val="nil"/>
              <w:bottom w:val="single" w:sz="8" w:space="0" w:color="auto"/>
              <w:right w:val="single" w:sz="8" w:space="0" w:color="auto"/>
            </w:tcBorders>
            <w:shd w:val="clear" w:color="auto" w:fill="auto"/>
            <w:vAlign w:val="center"/>
          </w:tcPr>
          <w:p w14:paraId="41C0E3DF" w14:textId="6C8D18B7"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1 961 667,28</w:t>
            </w:r>
          </w:p>
        </w:tc>
        <w:tc>
          <w:tcPr>
            <w:tcW w:w="1361" w:type="dxa"/>
            <w:gridSpan w:val="2"/>
            <w:tcBorders>
              <w:top w:val="nil"/>
              <w:left w:val="nil"/>
              <w:bottom w:val="single" w:sz="8" w:space="0" w:color="auto"/>
              <w:right w:val="single" w:sz="8" w:space="0" w:color="auto"/>
            </w:tcBorders>
            <w:shd w:val="clear" w:color="auto" w:fill="auto"/>
            <w:vAlign w:val="center"/>
          </w:tcPr>
          <w:p w14:paraId="1FF2BF4D" w14:textId="69FEBAC2"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1 997 795,16</w:t>
            </w:r>
          </w:p>
        </w:tc>
        <w:tc>
          <w:tcPr>
            <w:tcW w:w="1361" w:type="dxa"/>
            <w:gridSpan w:val="2"/>
            <w:tcBorders>
              <w:top w:val="nil"/>
              <w:left w:val="nil"/>
              <w:bottom w:val="single" w:sz="8" w:space="0" w:color="auto"/>
              <w:right w:val="single" w:sz="8" w:space="0" w:color="auto"/>
            </w:tcBorders>
            <w:shd w:val="clear" w:color="auto" w:fill="auto"/>
            <w:vAlign w:val="center"/>
          </w:tcPr>
          <w:p w14:paraId="3EA1A5EB" w14:textId="4611E169"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2 032 471,33</w:t>
            </w:r>
          </w:p>
        </w:tc>
        <w:tc>
          <w:tcPr>
            <w:tcW w:w="1871" w:type="dxa"/>
            <w:tcBorders>
              <w:top w:val="nil"/>
              <w:left w:val="nil"/>
              <w:bottom w:val="single" w:sz="8" w:space="0" w:color="auto"/>
              <w:right w:val="single" w:sz="8" w:space="0" w:color="auto"/>
            </w:tcBorders>
            <w:shd w:val="clear" w:color="auto" w:fill="auto"/>
            <w:vAlign w:val="center"/>
          </w:tcPr>
          <w:p w14:paraId="3D11A030" w14:textId="1AF5CCA1" w:rsidR="00BD667E" w:rsidRPr="00125B33" w:rsidRDefault="00FB629B" w:rsidP="00BD667E">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1</w:t>
            </w:r>
            <w:r w:rsidR="00BD667E" w:rsidRPr="00125B33">
              <w:rPr>
                <w:rFonts w:ascii="Calibri" w:eastAsia="Times New Roman" w:hAnsi="Calibri" w:cs="Times New Roman"/>
                <w:color w:val="000000"/>
                <w:sz w:val="20"/>
                <w:szCs w:val="20"/>
                <w:lang w:eastAsia="fr-FR"/>
              </w:rPr>
              <w:t>,</w:t>
            </w:r>
            <w:r>
              <w:rPr>
                <w:rFonts w:ascii="Calibri" w:eastAsia="Times New Roman" w:hAnsi="Calibri" w:cs="Times New Roman"/>
                <w:color w:val="000000"/>
                <w:sz w:val="20"/>
                <w:szCs w:val="20"/>
                <w:lang w:eastAsia="fr-FR"/>
              </w:rPr>
              <w:t>74</w:t>
            </w:r>
            <w:r w:rsidR="00BD667E" w:rsidRPr="00125B33">
              <w:rPr>
                <w:rFonts w:ascii="Calibri" w:eastAsia="Times New Roman" w:hAnsi="Calibri" w:cs="Times New Roman"/>
                <w:color w:val="000000"/>
                <w:sz w:val="20"/>
                <w:szCs w:val="20"/>
                <w:lang w:eastAsia="fr-FR"/>
              </w:rPr>
              <w:t xml:space="preserve"> %</w:t>
            </w:r>
          </w:p>
        </w:tc>
      </w:tr>
      <w:tr w:rsidR="00BD667E" w:rsidRPr="00FB3E75" w14:paraId="5C1E7BDE" w14:textId="77777777" w:rsidTr="006C2C87">
        <w:trPr>
          <w:trHeight w:val="397"/>
          <w:jc w:val="center"/>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3D93FB86" w14:textId="77777777"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74</w:t>
            </w:r>
          </w:p>
        </w:tc>
        <w:tc>
          <w:tcPr>
            <w:tcW w:w="3288" w:type="dxa"/>
            <w:gridSpan w:val="3"/>
            <w:tcBorders>
              <w:top w:val="nil"/>
              <w:left w:val="nil"/>
              <w:bottom w:val="single" w:sz="8" w:space="0" w:color="auto"/>
              <w:right w:val="single" w:sz="8" w:space="0" w:color="auto"/>
            </w:tcBorders>
            <w:shd w:val="clear" w:color="auto" w:fill="auto"/>
            <w:vAlign w:val="center"/>
            <w:hideMark/>
          </w:tcPr>
          <w:p w14:paraId="712507A3" w14:textId="77777777" w:rsidR="00BD667E" w:rsidRPr="00125B33" w:rsidRDefault="00BD667E" w:rsidP="00BD667E">
            <w:pPr>
              <w:spacing w:after="0" w:line="240" w:lineRule="auto"/>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Dotations et participations</w:t>
            </w:r>
          </w:p>
        </w:tc>
        <w:tc>
          <w:tcPr>
            <w:tcW w:w="1361" w:type="dxa"/>
            <w:gridSpan w:val="2"/>
            <w:tcBorders>
              <w:top w:val="nil"/>
              <w:left w:val="nil"/>
              <w:bottom w:val="single" w:sz="8" w:space="0" w:color="auto"/>
              <w:right w:val="single" w:sz="8" w:space="0" w:color="auto"/>
            </w:tcBorders>
            <w:shd w:val="clear" w:color="auto" w:fill="auto"/>
            <w:vAlign w:val="center"/>
          </w:tcPr>
          <w:p w14:paraId="34A2EEC1" w14:textId="453BCC75"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419 425,78</w:t>
            </w:r>
          </w:p>
        </w:tc>
        <w:tc>
          <w:tcPr>
            <w:tcW w:w="1361" w:type="dxa"/>
            <w:gridSpan w:val="2"/>
            <w:tcBorders>
              <w:top w:val="nil"/>
              <w:left w:val="nil"/>
              <w:bottom w:val="single" w:sz="8" w:space="0" w:color="auto"/>
              <w:right w:val="single" w:sz="8" w:space="0" w:color="auto"/>
            </w:tcBorders>
            <w:shd w:val="clear" w:color="auto" w:fill="auto"/>
            <w:vAlign w:val="center"/>
          </w:tcPr>
          <w:p w14:paraId="69AE2360" w14:textId="462B5BDB"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425 154,98</w:t>
            </w:r>
          </w:p>
        </w:tc>
        <w:tc>
          <w:tcPr>
            <w:tcW w:w="1361" w:type="dxa"/>
            <w:gridSpan w:val="2"/>
            <w:tcBorders>
              <w:top w:val="nil"/>
              <w:left w:val="nil"/>
              <w:bottom w:val="single" w:sz="8" w:space="0" w:color="auto"/>
              <w:right w:val="single" w:sz="8" w:space="0" w:color="auto"/>
            </w:tcBorders>
            <w:shd w:val="clear" w:color="auto" w:fill="auto"/>
            <w:vAlign w:val="center"/>
          </w:tcPr>
          <w:p w14:paraId="588FFBBB" w14:textId="218203A2"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446</w:t>
            </w:r>
            <w:r w:rsidRPr="00125B33">
              <w:rPr>
                <w:rFonts w:ascii="Calibri" w:eastAsia="Times New Roman" w:hAnsi="Calibri" w:cs="Times New Roman"/>
                <w:color w:val="000000"/>
                <w:sz w:val="20"/>
                <w:szCs w:val="20"/>
                <w:lang w:eastAsia="fr-FR"/>
              </w:rPr>
              <w:t xml:space="preserve"> </w:t>
            </w:r>
            <w:r>
              <w:rPr>
                <w:rFonts w:ascii="Calibri" w:eastAsia="Times New Roman" w:hAnsi="Calibri" w:cs="Times New Roman"/>
                <w:color w:val="000000"/>
                <w:sz w:val="20"/>
                <w:szCs w:val="20"/>
                <w:lang w:eastAsia="fr-FR"/>
              </w:rPr>
              <w:t>192</w:t>
            </w:r>
            <w:r w:rsidRPr="00125B33">
              <w:rPr>
                <w:rFonts w:ascii="Calibri" w:eastAsia="Times New Roman" w:hAnsi="Calibri" w:cs="Times New Roman"/>
                <w:color w:val="000000"/>
                <w:sz w:val="20"/>
                <w:szCs w:val="20"/>
                <w:lang w:eastAsia="fr-FR"/>
              </w:rPr>
              <w:t>,</w:t>
            </w:r>
            <w:r>
              <w:rPr>
                <w:rFonts w:ascii="Calibri" w:eastAsia="Times New Roman" w:hAnsi="Calibri" w:cs="Times New Roman"/>
                <w:color w:val="000000"/>
                <w:sz w:val="20"/>
                <w:szCs w:val="20"/>
                <w:lang w:eastAsia="fr-FR"/>
              </w:rPr>
              <w:t>77</w:t>
            </w:r>
          </w:p>
        </w:tc>
        <w:tc>
          <w:tcPr>
            <w:tcW w:w="1871" w:type="dxa"/>
            <w:tcBorders>
              <w:top w:val="nil"/>
              <w:left w:val="nil"/>
              <w:bottom w:val="single" w:sz="8" w:space="0" w:color="auto"/>
              <w:right w:val="single" w:sz="8" w:space="0" w:color="auto"/>
            </w:tcBorders>
            <w:shd w:val="clear" w:color="auto" w:fill="auto"/>
            <w:vAlign w:val="center"/>
          </w:tcPr>
          <w:p w14:paraId="25C044DC" w14:textId="20EE8F50" w:rsidR="00BD667E" w:rsidRPr="00125B33" w:rsidRDefault="00DE0F62" w:rsidP="00BD667E">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4</w:t>
            </w:r>
            <w:r w:rsidR="00BD667E" w:rsidRPr="00125B33">
              <w:rPr>
                <w:rFonts w:ascii="Calibri" w:eastAsia="Times New Roman" w:hAnsi="Calibri" w:cs="Times New Roman"/>
                <w:color w:val="000000"/>
                <w:sz w:val="20"/>
                <w:szCs w:val="20"/>
                <w:lang w:eastAsia="fr-FR"/>
              </w:rPr>
              <w:t>,</w:t>
            </w:r>
            <w:r>
              <w:rPr>
                <w:rFonts w:ascii="Calibri" w:eastAsia="Times New Roman" w:hAnsi="Calibri" w:cs="Times New Roman"/>
                <w:color w:val="000000"/>
                <w:sz w:val="20"/>
                <w:szCs w:val="20"/>
                <w:lang w:eastAsia="fr-FR"/>
              </w:rPr>
              <w:t>95</w:t>
            </w:r>
            <w:r w:rsidR="00BD667E" w:rsidRPr="00125B33">
              <w:rPr>
                <w:rFonts w:ascii="Calibri" w:eastAsia="Times New Roman" w:hAnsi="Calibri" w:cs="Times New Roman"/>
                <w:color w:val="000000"/>
                <w:sz w:val="20"/>
                <w:szCs w:val="20"/>
                <w:lang w:eastAsia="fr-FR"/>
              </w:rPr>
              <w:t xml:space="preserve"> %</w:t>
            </w:r>
          </w:p>
        </w:tc>
      </w:tr>
      <w:tr w:rsidR="00BD667E" w:rsidRPr="00FB3E75" w14:paraId="3C23298E" w14:textId="77777777" w:rsidTr="006C2C87">
        <w:trPr>
          <w:trHeight w:val="397"/>
          <w:jc w:val="center"/>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1882EC96" w14:textId="77777777"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75</w:t>
            </w:r>
          </w:p>
        </w:tc>
        <w:tc>
          <w:tcPr>
            <w:tcW w:w="3288" w:type="dxa"/>
            <w:gridSpan w:val="3"/>
            <w:tcBorders>
              <w:top w:val="nil"/>
              <w:left w:val="nil"/>
              <w:bottom w:val="single" w:sz="8" w:space="0" w:color="auto"/>
              <w:right w:val="single" w:sz="8" w:space="0" w:color="auto"/>
            </w:tcBorders>
            <w:shd w:val="clear" w:color="auto" w:fill="auto"/>
            <w:vAlign w:val="center"/>
            <w:hideMark/>
          </w:tcPr>
          <w:p w14:paraId="71BAF069" w14:textId="77777777" w:rsidR="00BD667E" w:rsidRPr="00125B33" w:rsidRDefault="00BD667E" w:rsidP="00BD667E">
            <w:pPr>
              <w:spacing w:after="0" w:line="240" w:lineRule="auto"/>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Autres produits (dont loyers)</w:t>
            </w:r>
          </w:p>
        </w:tc>
        <w:tc>
          <w:tcPr>
            <w:tcW w:w="1361" w:type="dxa"/>
            <w:gridSpan w:val="2"/>
            <w:tcBorders>
              <w:top w:val="nil"/>
              <w:left w:val="nil"/>
              <w:bottom w:val="single" w:sz="8" w:space="0" w:color="auto"/>
              <w:right w:val="single" w:sz="8" w:space="0" w:color="auto"/>
            </w:tcBorders>
            <w:shd w:val="clear" w:color="auto" w:fill="auto"/>
            <w:vAlign w:val="center"/>
          </w:tcPr>
          <w:p w14:paraId="2BA5D5A5" w14:textId="2E69BA31"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40 685,91</w:t>
            </w:r>
          </w:p>
        </w:tc>
        <w:tc>
          <w:tcPr>
            <w:tcW w:w="1361" w:type="dxa"/>
            <w:gridSpan w:val="2"/>
            <w:tcBorders>
              <w:top w:val="nil"/>
              <w:left w:val="nil"/>
              <w:bottom w:val="single" w:sz="8" w:space="0" w:color="auto"/>
              <w:right w:val="single" w:sz="8" w:space="0" w:color="auto"/>
            </w:tcBorders>
            <w:shd w:val="clear" w:color="auto" w:fill="auto"/>
            <w:vAlign w:val="center"/>
          </w:tcPr>
          <w:p w14:paraId="1401EB31" w14:textId="43F50E35"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755 877,42</w:t>
            </w:r>
          </w:p>
        </w:tc>
        <w:tc>
          <w:tcPr>
            <w:tcW w:w="1361" w:type="dxa"/>
            <w:gridSpan w:val="2"/>
            <w:tcBorders>
              <w:top w:val="nil"/>
              <w:left w:val="nil"/>
              <w:bottom w:val="single" w:sz="8" w:space="0" w:color="auto"/>
              <w:right w:val="single" w:sz="8" w:space="0" w:color="auto"/>
            </w:tcBorders>
            <w:shd w:val="clear" w:color="auto" w:fill="auto"/>
            <w:vAlign w:val="center"/>
          </w:tcPr>
          <w:p w14:paraId="28A87EE2" w14:textId="1DCC2D2C"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87</w:t>
            </w:r>
            <w:r w:rsidRPr="00125B33">
              <w:rPr>
                <w:rFonts w:ascii="Calibri" w:eastAsia="Times New Roman" w:hAnsi="Calibri" w:cs="Times New Roman"/>
                <w:color w:val="000000"/>
                <w:sz w:val="20"/>
                <w:szCs w:val="20"/>
                <w:lang w:eastAsia="fr-FR"/>
              </w:rPr>
              <w:t xml:space="preserve"> </w:t>
            </w:r>
            <w:r>
              <w:rPr>
                <w:rFonts w:ascii="Calibri" w:eastAsia="Times New Roman" w:hAnsi="Calibri" w:cs="Times New Roman"/>
                <w:color w:val="000000"/>
                <w:sz w:val="20"/>
                <w:szCs w:val="20"/>
                <w:lang w:eastAsia="fr-FR"/>
              </w:rPr>
              <w:t>640</w:t>
            </w:r>
            <w:r w:rsidRPr="00125B33">
              <w:rPr>
                <w:rFonts w:ascii="Calibri" w:eastAsia="Times New Roman" w:hAnsi="Calibri" w:cs="Times New Roman"/>
                <w:color w:val="000000"/>
                <w:sz w:val="20"/>
                <w:szCs w:val="20"/>
                <w:lang w:eastAsia="fr-FR"/>
              </w:rPr>
              <w:t>,</w:t>
            </w:r>
            <w:r>
              <w:rPr>
                <w:rFonts w:ascii="Calibri" w:eastAsia="Times New Roman" w:hAnsi="Calibri" w:cs="Times New Roman"/>
                <w:color w:val="000000"/>
                <w:sz w:val="20"/>
                <w:szCs w:val="20"/>
                <w:lang w:eastAsia="fr-FR"/>
              </w:rPr>
              <w:t>5</w:t>
            </w:r>
            <w:r w:rsidRPr="00125B33">
              <w:rPr>
                <w:rFonts w:ascii="Calibri" w:eastAsia="Times New Roman" w:hAnsi="Calibri" w:cs="Times New Roman"/>
                <w:color w:val="000000"/>
                <w:sz w:val="20"/>
                <w:szCs w:val="20"/>
                <w:lang w:eastAsia="fr-FR"/>
              </w:rPr>
              <w:t>2</w:t>
            </w:r>
          </w:p>
        </w:tc>
        <w:tc>
          <w:tcPr>
            <w:tcW w:w="1871" w:type="dxa"/>
            <w:tcBorders>
              <w:top w:val="nil"/>
              <w:left w:val="nil"/>
              <w:bottom w:val="single" w:sz="8" w:space="0" w:color="auto"/>
              <w:right w:val="single" w:sz="8" w:space="0" w:color="auto"/>
            </w:tcBorders>
            <w:shd w:val="clear" w:color="auto" w:fill="auto"/>
            <w:vAlign w:val="center"/>
          </w:tcPr>
          <w:p w14:paraId="631873E6" w14:textId="5F937B54" w:rsidR="00BD667E" w:rsidRPr="00125B33" w:rsidRDefault="00121EAE" w:rsidP="00BD667E">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 xml:space="preserve">- </w:t>
            </w:r>
            <w:r w:rsidR="00732AB1">
              <w:rPr>
                <w:rFonts w:ascii="Calibri" w:eastAsia="Times New Roman" w:hAnsi="Calibri" w:cs="Times New Roman"/>
                <w:color w:val="000000"/>
                <w:sz w:val="20"/>
                <w:szCs w:val="20"/>
                <w:lang w:eastAsia="fr-FR"/>
              </w:rPr>
              <w:t>88</w:t>
            </w:r>
            <w:r w:rsidR="00BD667E">
              <w:rPr>
                <w:rFonts w:ascii="Calibri" w:eastAsia="Times New Roman" w:hAnsi="Calibri" w:cs="Times New Roman"/>
                <w:color w:val="000000"/>
                <w:sz w:val="20"/>
                <w:szCs w:val="20"/>
                <w:lang w:eastAsia="fr-FR"/>
              </w:rPr>
              <w:t xml:space="preserve">,41 </w:t>
            </w:r>
            <w:r w:rsidR="00BD667E" w:rsidRPr="00125B33">
              <w:rPr>
                <w:rFonts w:ascii="Calibri" w:eastAsia="Times New Roman" w:hAnsi="Calibri" w:cs="Times New Roman"/>
                <w:color w:val="000000"/>
                <w:sz w:val="20"/>
                <w:szCs w:val="20"/>
                <w:lang w:eastAsia="fr-FR"/>
              </w:rPr>
              <w:t>%</w:t>
            </w:r>
          </w:p>
        </w:tc>
      </w:tr>
      <w:tr w:rsidR="00BD667E" w:rsidRPr="00FB3E75" w14:paraId="21E0E7F4" w14:textId="77777777" w:rsidTr="00E3556A">
        <w:trPr>
          <w:trHeight w:val="397"/>
          <w:jc w:val="center"/>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2BFDEEC0" w14:textId="77777777"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77</w:t>
            </w:r>
          </w:p>
        </w:tc>
        <w:tc>
          <w:tcPr>
            <w:tcW w:w="3288" w:type="dxa"/>
            <w:gridSpan w:val="3"/>
            <w:tcBorders>
              <w:top w:val="nil"/>
              <w:left w:val="nil"/>
              <w:bottom w:val="single" w:sz="8" w:space="0" w:color="auto"/>
              <w:right w:val="single" w:sz="8" w:space="0" w:color="auto"/>
            </w:tcBorders>
            <w:shd w:val="clear" w:color="auto" w:fill="auto"/>
            <w:vAlign w:val="center"/>
            <w:hideMark/>
          </w:tcPr>
          <w:p w14:paraId="47BCFE23" w14:textId="77777777" w:rsidR="00BD667E" w:rsidRPr="00125B33" w:rsidRDefault="00BD667E" w:rsidP="00BD667E">
            <w:pPr>
              <w:spacing w:after="0" w:line="240" w:lineRule="auto"/>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Produits exceptionnels</w:t>
            </w:r>
          </w:p>
        </w:tc>
        <w:tc>
          <w:tcPr>
            <w:tcW w:w="1361" w:type="dxa"/>
            <w:gridSpan w:val="2"/>
            <w:tcBorders>
              <w:top w:val="nil"/>
              <w:left w:val="nil"/>
              <w:bottom w:val="single" w:sz="8" w:space="0" w:color="auto"/>
              <w:right w:val="single" w:sz="8" w:space="0" w:color="auto"/>
            </w:tcBorders>
            <w:shd w:val="clear" w:color="auto" w:fill="auto"/>
            <w:vAlign w:val="center"/>
          </w:tcPr>
          <w:p w14:paraId="386E5C02" w14:textId="35080868"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15 978,89</w:t>
            </w:r>
          </w:p>
        </w:tc>
        <w:tc>
          <w:tcPr>
            <w:tcW w:w="1361" w:type="dxa"/>
            <w:gridSpan w:val="2"/>
            <w:tcBorders>
              <w:top w:val="nil"/>
              <w:left w:val="nil"/>
              <w:bottom w:val="single" w:sz="8" w:space="0" w:color="auto"/>
              <w:right w:val="single" w:sz="8" w:space="0" w:color="auto"/>
            </w:tcBorders>
            <w:shd w:val="clear" w:color="auto" w:fill="auto"/>
            <w:vAlign w:val="center"/>
          </w:tcPr>
          <w:p w14:paraId="7CCC83A7" w14:textId="3E677F72"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sidRPr="00125B33">
              <w:rPr>
                <w:rFonts w:ascii="Calibri" w:eastAsia="Times New Roman" w:hAnsi="Calibri" w:cs="Times New Roman"/>
                <w:color w:val="000000"/>
                <w:sz w:val="20"/>
                <w:szCs w:val="20"/>
                <w:lang w:eastAsia="fr-FR"/>
              </w:rPr>
              <w:t>21 364,62</w:t>
            </w:r>
          </w:p>
        </w:tc>
        <w:tc>
          <w:tcPr>
            <w:tcW w:w="1361" w:type="dxa"/>
            <w:gridSpan w:val="2"/>
            <w:tcBorders>
              <w:top w:val="nil"/>
              <w:left w:val="nil"/>
              <w:bottom w:val="single" w:sz="8" w:space="0" w:color="auto"/>
              <w:right w:val="single" w:sz="8" w:space="0" w:color="auto"/>
            </w:tcBorders>
            <w:shd w:val="clear" w:color="auto" w:fill="auto"/>
            <w:vAlign w:val="center"/>
          </w:tcPr>
          <w:p w14:paraId="4CE39015" w14:textId="1CBF4BC0"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7 434</w:t>
            </w:r>
            <w:r w:rsidRPr="00125B33">
              <w:rPr>
                <w:rFonts w:ascii="Calibri" w:eastAsia="Times New Roman" w:hAnsi="Calibri" w:cs="Times New Roman"/>
                <w:color w:val="000000"/>
                <w:sz w:val="20"/>
                <w:szCs w:val="20"/>
                <w:lang w:eastAsia="fr-FR"/>
              </w:rPr>
              <w:t>,</w:t>
            </w:r>
            <w:r>
              <w:rPr>
                <w:rFonts w:ascii="Calibri" w:eastAsia="Times New Roman" w:hAnsi="Calibri" w:cs="Times New Roman"/>
                <w:color w:val="000000"/>
                <w:sz w:val="20"/>
                <w:szCs w:val="20"/>
                <w:lang w:eastAsia="fr-FR"/>
              </w:rPr>
              <w:t>86</w:t>
            </w:r>
          </w:p>
        </w:tc>
        <w:tc>
          <w:tcPr>
            <w:tcW w:w="1871" w:type="dxa"/>
            <w:tcBorders>
              <w:top w:val="nil"/>
              <w:left w:val="nil"/>
              <w:bottom w:val="single" w:sz="8" w:space="0" w:color="auto"/>
              <w:right w:val="single" w:sz="8" w:space="0" w:color="auto"/>
            </w:tcBorders>
            <w:shd w:val="clear" w:color="auto" w:fill="auto"/>
            <w:vAlign w:val="center"/>
          </w:tcPr>
          <w:p w14:paraId="511B5D8E" w14:textId="16972204" w:rsidR="00BD667E" w:rsidRPr="00125B33" w:rsidRDefault="00BD667E" w:rsidP="00BD667E">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 xml:space="preserve">- </w:t>
            </w:r>
            <w:r w:rsidR="00732AB1">
              <w:rPr>
                <w:rFonts w:ascii="Calibri" w:eastAsia="Times New Roman" w:hAnsi="Calibri" w:cs="Times New Roman"/>
                <w:color w:val="000000"/>
                <w:sz w:val="20"/>
                <w:szCs w:val="20"/>
                <w:lang w:eastAsia="fr-FR"/>
              </w:rPr>
              <w:t>65</w:t>
            </w:r>
            <w:r w:rsidRPr="00125B33">
              <w:rPr>
                <w:rFonts w:ascii="Calibri" w:eastAsia="Times New Roman" w:hAnsi="Calibri" w:cs="Times New Roman"/>
                <w:color w:val="000000"/>
                <w:sz w:val="20"/>
                <w:szCs w:val="20"/>
                <w:lang w:eastAsia="fr-FR"/>
              </w:rPr>
              <w:t>,</w:t>
            </w:r>
            <w:r w:rsidR="00732AB1">
              <w:rPr>
                <w:rFonts w:ascii="Calibri" w:eastAsia="Times New Roman" w:hAnsi="Calibri" w:cs="Times New Roman"/>
                <w:color w:val="000000"/>
                <w:sz w:val="20"/>
                <w:szCs w:val="20"/>
                <w:lang w:eastAsia="fr-FR"/>
              </w:rPr>
              <w:t xml:space="preserve">20 </w:t>
            </w:r>
            <w:r w:rsidRPr="00125B33">
              <w:rPr>
                <w:rFonts w:ascii="Calibri" w:eastAsia="Times New Roman" w:hAnsi="Calibri" w:cs="Times New Roman"/>
                <w:color w:val="000000"/>
                <w:sz w:val="20"/>
                <w:szCs w:val="20"/>
                <w:lang w:eastAsia="fr-FR"/>
              </w:rPr>
              <w:t>%</w:t>
            </w:r>
          </w:p>
        </w:tc>
      </w:tr>
      <w:tr w:rsidR="00FB3E75" w:rsidRPr="00FB3E75" w14:paraId="55DEE370" w14:textId="77777777" w:rsidTr="00E3556A">
        <w:trPr>
          <w:trHeight w:val="300"/>
          <w:jc w:val="center"/>
        </w:trPr>
        <w:tc>
          <w:tcPr>
            <w:tcW w:w="1200" w:type="dxa"/>
            <w:gridSpan w:val="2"/>
            <w:tcBorders>
              <w:top w:val="nil"/>
              <w:left w:val="nil"/>
              <w:bottom w:val="nil"/>
              <w:right w:val="nil"/>
            </w:tcBorders>
            <w:shd w:val="clear" w:color="auto" w:fill="auto"/>
            <w:noWrap/>
            <w:vAlign w:val="bottom"/>
          </w:tcPr>
          <w:p w14:paraId="11358BA7" w14:textId="77777777" w:rsidR="00FB3E75" w:rsidRPr="00FB3E75" w:rsidRDefault="00FB3E75" w:rsidP="00FB3E75">
            <w:pPr>
              <w:spacing w:after="0" w:line="240" w:lineRule="auto"/>
              <w:jc w:val="center"/>
              <w:rPr>
                <w:rFonts w:ascii="Calibri" w:eastAsia="Times New Roman" w:hAnsi="Calibri" w:cs="Times New Roman"/>
                <w:color w:val="000000"/>
                <w:lang w:eastAsia="fr-FR"/>
              </w:rPr>
            </w:pPr>
          </w:p>
        </w:tc>
        <w:tc>
          <w:tcPr>
            <w:tcW w:w="1740" w:type="dxa"/>
            <w:tcBorders>
              <w:top w:val="nil"/>
              <w:left w:val="nil"/>
              <w:bottom w:val="nil"/>
              <w:right w:val="nil"/>
            </w:tcBorders>
            <w:shd w:val="clear" w:color="auto" w:fill="auto"/>
            <w:noWrap/>
            <w:vAlign w:val="bottom"/>
          </w:tcPr>
          <w:p w14:paraId="4E3B3F34" w14:textId="70E71572" w:rsidR="00545D56" w:rsidRPr="00FB3E75" w:rsidRDefault="00545D56" w:rsidP="00FB3E75">
            <w:pPr>
              <w:spacing w:after="0" w:line="240" w:lineRule="auto"/>
              <w:rPr>
                <w:rFonts w:ascii="Times New Roman" w:eastAsia="Times New Roman" w:hAnsi="Times New Roman" w:cs="Times New Roman"/>
                <w:sz w:val="20"/>
                <w:szCs w:val="20"/>
                <w:lang w:eastAsia="fr-FR"/>
              </w:rPr>
            </w:pPr>
          </w:p>
        </w:tc>
        <w:tc>
          <w:tcPr>
            <w:tcW w:w="1740" w:type="dxa"/>
            <w:gridSpan w:val="2"/>
            <w:tcBorders>
              <w:top w:val="nil"/>
              <w:left w:val="nil"/>
              <w:bottom w:val="nil"/>
              <w:right w:val="nil"/>
            </w:tcBorders>
            <w:shd w:val="clear" w:color="auto" w:fill="auto"/>
            <w:noWrap/>
            <w:vAlign w:val="bottom"/>
          </w:tcPr>
          <w:p w14:paraId="246D5603" w14:textId="77777777" w:rsidR="001306BB" w:rsidRDefault="001306BB" w:rsidP="00FB3E75">
            <w:pPr>
              <w:spacing w:after="0" w:line="240" w:lineRule="auto"/>
              <w:rPr>
                <w:rFonts w:ascii="Times New Roman" w:eastAsia="Times New Roman" w:hAnsi="Times New Roman" w:cs="Times New Roman"/>
                <w:sz w:val="20"/>
                <w:szCs w:val="20"/>
                <w:lang w:eastAsia="fr-FR"/>
              </w:rPr>
            </w:pPr>
          </w:p>
          <w:p w14:paraId="408E9B22" w14:textId="22E41E5B" w:rsidR="0051492D" w:rsidRPr="00FB3E75" w:rsidRDefault="0051492D" w:rsidP="00FB3E75">
            <w:pPr>
              <w:spacing w:after="0" w:line="240" w:lineRule="auto"/>
              <w:rPr>
                <w:rFonts w:ascii="Times New Roman" w:eastAsia="Times New Roman" w:hAnsi="Times New Roman" w:cs="Times New Roman"/>
                <w:sz w:val="20"/>
                <w:szCs w:val="20"/>
                <w:lang w:eastAsia="fr-FR"/>
              </w:rPr>
            </w:pPr>
          </w:p>
        </w:tc>
        <w:tc>
          <w:tcPr>
            <w:tcW w:w="1660" w:type="dxa"/>
            <w:gridSpan w:val="2"/>
            <w:tcBorders>
              <w:top w:val="nil"/>
              <w:left w:val="nil"/>
              <w:bottom w:val="nil"/>
              <w:right w:val="nil"/>
            </w:tcBorders>
            <w:shd w:val="clear" w:color="auto" w:fill="auto"/>
            <w:noWrap/>
            <w:vAlign w:val="bottom"/>
          </w:tcPr>
          <w:p w14:paraId="39E2331B" w14:textId="4DAA155C" w:rsidR="00C36481" w:rsidRPr="00FB3E75" w:rsidRDefault="00C36481" w:rsidP="00FB3E75">
            <w:pPr>
              <w:spacing w:after="0" w:line="240" w:lineRule="auto"/>
              <w:rPr>
                <w:rFonts w:ascii="Times New Roman" w:eastAsia="Times New Roman" w:hAnsi="Times New Roman" w:cs="Times New Roman"/>
                <w:sz w:val="20"/>
                <w:szCs w:val="20"/>
                <w:lang w:eastAsia="fr-FR"/>
              </w:rPr>
            </w:pPr>
          </w:p>
        </w:tc>
        <w:tc>
          <w:tcPr>
            <w:tcW w:w="1440" w:type="dxa"/>
            <w:gridSpan w:val="2"/>
            <w:tcBorders>
              <w:top w:val="nil"/>
              <w:left w:val="nil"/>
              <w:bottom w:val="nil"/>
              <w:right w:val="nil"/>
            </w:tcBorders>
            <w:shd w:val="clear" w:color="auto" w:fill="auto"/>
            <w:noWrap/>
            <w:vAlign w:val="bottom"/>
          </w:tcPr>
          <w:p w14:paraId="35CF5EC9" w14:textId="77777777" w:rsidR="00FB3E75" w:rsidRPr="00FB3E75" w:rsidRDefault="00FB3E75" w:rsidP="00FB3E75">
            <w:pPr>
              <w:spacing w:after="0" w:line="240" w:lineRule="auto"/>
              <w:rPr>
                <w:rFonts w:ascii="Times New Roman" w:eastAsia="Times New Roman" w:hAnsi="Times New Roman" w:cs="Times New Roman"/>
                <w:sz w:val="20"/>
                <w:szCs w:val="20"/>
                <w:lang w:eastAsia="fr-FR"/>
              </w:rPr>
            </w:pPr>
          </w:p>
        </w:tc>
        <w:tc>
          <w:tcPr>
            <w:tcW w:w="2482" w:type="dxa"/>
            <w:gridSpan w:val="2"/>
            <w:tcBorders>
              <w:top w:val="nil"/>
              <w:left w:val="nil"/>
              <w:bottom w:val="nil"/>
              <w:right w:val="nil"/>
            </w:tcBorders>
            <w:shd w:val="clear" w:color="auto" w:fill="auto"/>
            <w:noWrap/>
            <w:vAlign w:val="bottom"/>
          </w:tcPr>
          <w:p w14:paraId="6F7425E6" w14:textId="77777777" w:rsidR="00FB3E75" w:rsidRPr="00FB3E75" w:rsidRDefault="00FB3E75" w:rsidP="00FB3E75">
            <w:pPr>
              <w:spacing w:after="0" w:line="240" w:lineRule="auto"/>
              <w:rPr>
                <w:rFonts w:ascii="Times New Roman" w:eastAsia="Times New Roman" w:hAnsi="Times New Roman" w:cs="Times New Roman"/>
                <w:sz w:val="20"/>
                <w:szCs w:val="20"/>
                <w:lang w:eastAsia="fr-FR"/>
              </w:rPr>
            </w:pPr>
          </w:p>
        </w:tc>
      </w:tr>
    </w:tbl>
    <w:p w14:paraId="62C81554" w14:textId="5094BC80" w:rsidR="00B608FC" w:rsidRPr="007B7FFA" w:rsidRDefault="00B608FC" w:rsidP="003147C9">
      <w:pPr>
        <w:shd w:val="clear" w:color="auto" w:fill="6699FF"/>
        <w:rPr>
          <w:b/>
          <w:bCs/>
          <w:color w:val="FFFFFF" w:themeColor="background1"/>
          <w:sz w:val="20"/>
          <w:szCs w:val="20"/>
        </w:rPr>
      </w:pPr>
      <w:r>
        <w:rPr>
          <w:b/>
          <w:bCs/>
          <w:color w:val="FFFFFF" w:themeColor="background1"/>
          <w:sz w:val="20"/>
          <w:szCs w:val="20"/>
        </w:rPr>
        <w:t>2</w:t>
      </w:r>
      <w:r w:rsidRPr="007B7FFA">
        <w:rPr>
          <w:b/>
          <w:bCs/>
          <w:color w:val="FFFFFF" w:themeColor="background1"/>
          <w:sz w:val="20"/>
          <w:szCs w:val="20"/>
        </w:rPr>
        <w:t>. La section d</w:t>
      </w:r>
      <w:r>
        <w:rPr>
          <w:b/>
          <w:bCs/>
          <w:color w:val="FFFFFF" w:themeColor="background1"/>
          <w:sz w:val="20"/>
          <w:szCs w:val="20"/>
        </w:rPr>
        <w:t>’investissement</w:t>
      </w:r>
    </w:p>
    <w:p w14:paraId="4FA479FE" w14:textId="77777777" w:rsidR="000F3486" w:rsidRDefault="000F3486" w:rsidP="00B608FC">
      <w:pPr>
        <w:shd w:val="clear" w:color="auto" w:fill="FFFFFF" w:themeFill="background1"/>
        <w:spacing w:after="0" w:line="240" w:lineRule="auto"/>
        <w:rPr>
          <w:b/>
          <w:bCs/>
          <w:sz w:val="20"/>
          <w:szCs w:val="20"/>
        </w:rPr>
      </w:pPr>
    </w:p>
    <w:p w14:paraId="30E728F5" w14:textId="1D7C9673" w:rsidR="00B608FC" w:rsidRPr="007B7FFA" w:rsidRDefault="00B608FC" w:rsidP="00B608FC">
      <w:pPr>
        <w:shd w:val="clear" w:color="auto" w:fill="FFFFFF" w:themeFill="background1"/>
        <w:spacing w:after="0" w:line="240" w:lineRule="auto"/>
        <w:rPr>
          <w:b/>
          <w:bCs/>
          <w:sz w:val="20"/>
          <w:szCs w:val="20"/>
        </w:rPr>
      </w:pPr>
      <w:r>
        <w:rPr>
          <w:b/>
          <w:bCs/>
          <w:sz w:val="20"/>
          <w:szCs w:val="20"/>
        </w:rPr>
        <w:t>2</w:t>
      </w:r>
      <w:r w:rsidRPr="007B7FFA">
        <w:rPr>
          <w:b/>
          <w:bCs/>
          <w:sz w:val="20"/>
          <w:szCs w:val="20"/>
        </w:rPr>
        <w:t>.1 Résultat</w:t>
      </w:r>
    </w:p>
    <w:p w14:paraId="2F1B18FF" w14:textId="78F32DA3" w:rsidR="00B608FC" w:rsidRDefault="00B608FC" w:rsidP="00B608FC">
      <w:pPr>
        <w:shd w:val="clear" w:color="auto" w:fill="FFFFFF" w:themeFill="background1"/>
        <w:spacing w:after="0" w:line="240" w:lineRule="auto"/>
        <w:rPr>
          <w:b/>
          <w:bCs/>
          <w:sz w:val="20"/>
          <w:szCs w:val="20"/>
        </w:rPr>
      </w:pPr>
      <w:r w:rsidRPr="007B7FFA">
        <w:rPr>
          <w:b/>
          <w:bCs/>
          <w:sz w:val="20"/>
          <w:szCs w:val="20"/>
        </w:rPr>
        <w:t>a) Résultats d</w:t>
      </w:r>
      <w:r>
        <w:rPr>
          <w:b/>
          <w:bCs/>
          <w:sz w:val="20"/>
          <w:szCs w:val="20"/>
        </w:rPr>
        <w:t xml:space="preserve">’investissement </w:t>
      </w:r>
      <w:r w:rsidRPr="007B7FFA">
        <w:rPr>
          <w:b/>
          <w:bCs/>
          <w:sz w:val="20"/>
          <w:szCs w:val="20"/>
        </w:rPr>
        <w:t>pour l’année 202</w:t>
      </w:r>
      <w:r w:rsidR="00A668F8">
        <w:rPr>
          <w:b/>
          <w:bCs/>
          <w:sz w:val="20"/>
          <w:szCs w:val="20"/>
        </w:rPr>
        <w:t>3</w:t>
      </w:r>
    </w:p>
    <w:p w14:paraId="3D9AA7E2" w14:textId="77777777" w:rsidR="006102B1" w:rsidRPr="007B7FFA" w:rsidRDefault="006102B1" w:rsidP="00B608FC">
      <w:pPr>
        <w:shd w:val="clear" w:color="auto" w:fill="FFFFFF" w:themeFill="background1"/>
        <w:spacing w:after="0" w:line="240" w:lineRule="auto"/>
        <w:rPr>
          <w:b/>
          <w:bCs/>
          <w:sz w:val="20"/>
          <w:szCs w:val="20"/>
        </w:rPr>
      </w:pPr>
    </w:p>
    <w:tbl>
      <w:tblPr>
        <w:tblStyle w:val="Grilledutableau"/>
        <w:tblW w:w="6500" w:type="dxa"/>
        <w:jc w:val="center"/>
        <w:tblLook w:val="04A0" w:firstRow="1" w:lastRow="0" w:firstColumn="1" w:lastColumn="0" w:noHBand="0" w:noVBand="1"/>
      </w:tblPr>
      <w:tblGrid>
        <w:gridCol w:w="4390"/>
        <w:gridCol w:w="2110"/>
      </w:tblGrid>
      <w:tr w:rsidR="00964B2F" w:rsidRPr="007B7FFA" w14:paraId="2B52DA87" w14:textId="77777777" w:rsidTr="00964B2F">
        <w:trPr>
          <w:trHeight w:val="567"/>
          <w:jc w:val="center"/>
        </w:trPr>
        <w:tc>
          <w:tcPr>
            <w:tcW w:w="4390" w:type="dxa"/>
            <w:tcBorders>
              <w:right w:val="single" w:sz="4" w:space="0" w:color="auto"/>
            </w:tcBorders>
            <w:vAlign w:val="center"/>
          </w:tcPr>
          <w:p w14:paraId="71275A3F" w14:textId="77777777" w:rsidR="00964B2F" w:rsidRPr="007B7FFA" w:rsidRDefault="00964B2F" w:rsidP="00964B2F">
            <w:pPr>
              <w:rPr>
                <w:sz w:val="20"/>
                <w:szCs w:val="20"/>
              </w:rPr>
            </w:pPr>
            <w:r w:rsidRPr="007B7FFA">
              <w:rPr>
                <w:sz w:val="20"/>
                <w:szCs w:val="20"/>
              </w:rPr>
              <w:t>Recettes d</w:t>
            </w:r>
            <w:r>
              <w:rPr>
                <w:sz w:val="20"/>
                <w:szCs w:val="20"/>
              </w:rPr>
              <w:t>’investissement</w:t>
            </w:r>
          </w:p>
        </w:tc>
        <w:tc>
          <w:tcPr>
            <w:tcW w:w="2110" w:type="dxa"/>
            <w:tcBorders>
              <w:top w:val="single" w:sz="4" w:space="0" w:color="auto"/>
              <w:left w:val="nil"/>
              <w:bottom w:val="single" w:sz="4" w:space="0" w:color="auto"/>
              <w:right w:val="single" w:sz="4" w:space="0" w:color="auto"/>
            </w:tcBorders>
            <w:vAlign w:val="center"/>
          </w:tcPr>
          <w:p w14:paraId="50B42DEE" w14:textId="06E30244" w:rsidR="00964B2F" w:rsidRPr="007B7FFA" w:rsidRDefault="00A668F8" w:rsidP="00964B2F">
            <w:pPr>
              <w:jc w:val="center"/>
              <w:rPr>
                <w:sz w:val="20"/>
                <w:szCs w:val="20"/>
              </w:rPr>
            </w:pPr>
            <w:r>
              <w:rPr>
                <w:sz w:val="20"/>
                <w:szCs w:val="20"/>
              </w:rPr>
              <w:t>914 043,61</w:t>
            </w:r>
            <w:r w:rsidR="00964B2F">
              <w:rPr>
                <w:sz w:val="20"/>
                <w:szCs w:val="20"/>
              </w:rPr>
              <w:t xml:space="preserve"> </w:t>
            </w:r>
            <w:r w:rsidR="00964B2F" w:rsidRPr="007B7FFA">
              <w:rPr>
                <w:sz w:val="20"/>
                <w:szCs w:val="20"/>
              </w:rPr>
              <w:t>€</w:t>
            </w:r>
          </w:p>
        </w:tc>
      </w:tr>
      <w:tr w:rsidR="00964B2F" w:rsidRPr="007B7FFA" w14:paraId="68E5D4E8" w14:textId="77777777" w:rsidTr="00964B2F">
        <w:trPr>
          <w:trHeight w:val="567"/>
          <w:jc w:val="center"/>
        </w:trPr>
        <w:tc>
          <w:tcPr>
            <w:tcW w:w="4390" w:type="dxa"/>
            <w:tcBorders>
              <w:bottom w:val="single" w:sz="4" w:space="0" w:color="auto"/>
              <w:right w:val="single" w:sz="4" w:space="0" w:color="auto"/>
            </w:tcBorders>
            <w:vAlign w:val="center"/>
          </w:tcPr>
          <w:p w14:paraId="2496496E" w14:textId="77777777" w:rsidR="00964B2F" w:rsidRPr="007B7FFA" w:rsidRDefault="00964B2F" w:rsidP="00964B2F">
            <w:pPr>
              <w:rPr>
                <w:sz w:val="20"/>
                <w:szCs w:val="20"/>
              </w:rPr>
            </w:pPr>
            <w:r w:rsidRPr="007B7FFA">
              <w:rPr>
                <w:sz w:val="20"/>
                <w:szCs w:val="20"/>
              </w:rPr>
              <w:t>Dépenses d</w:t>
            </w:r>
            <w:r>
              <w:rPr>
                <w:sz w:val="20"/>
                <w:szCs w:val="20"/>
              </w:rPr>
              <w:t>’investissement</w:t>
            </w:r>
          </w:p>
        </w:tc>
        <w:tc>
          <w:tcPr>
            <w:tcW w:w="2110" w:type="dxa"/>
            <w:tcBorders>
              <w:top w:val="single" w:sz="4" w:space="0" w:color="auto"/>
              <w:left w:val="nil"/>
              <w:bottom w:val="single" w:sz="4" w:space="0" w:color="auto"/>
              <w:right w:val="single" w:sz="4" w:space="0" w:color="auto"/>
            </w:tcBorders>
            <w:vAlign w:val="center"/>
          </w:tcPr>
          <w:p w14:paraId="741F1E99" w14:textId="6B2D99CE" w:rsidR="00964B2F" w:rsidRPr="007B7FFA" w:rsidRDefault="00A668F8" w:rsidP="00964B2F">
            <w:pPr>
              <w:jc w:val="center"/>
              <w:rPr>
                <w:sz w:val="20"/>
                <w:szCs w:val="20"/>
              </w:rPr>
            </w:pPr>
            <w:r>
              <w:rPr>
                <w:sz w:val="20"/>
                <w:szCs w:val="20"/>
              </w:rPr>
              <w:t xml:space="preserve">691 171,30 </w:t>
            </w:r>
            <w:r w:rsidR="00964B2F" w:rsidRPr="007B7FFA">
              <w:rPr>
                <w:sz w:val="20"/>
                <w:szCs w:val="20"/>
              </w:rPr>
              <w:t>€</w:t>
            </w:r>
          </w:p>
        </w:tc>
      </w:tr>
      <w:tr w:rsidR="00964B2F" w:rsidRPr="007B7FFA" w14:paraId="5BD153BC" w14:textId="77777777" w:rsidTr="00964B2F">
        <w:trPr>
          <w:trHeight w:val="567"/>
          <w:jc w:val="center"/>
        </w:trPr>
        <w:tc>
          <w:tcPr>
            <w:tcW w:w="4390" w:type="dxa"/>
            <w:tcBorders>
              <w:top w:val="single" w:sz="4" w:space="0" w:color="auto"/>
              <w:bottom w:val="single" w:sz="4" w:space="0" w:color="auto"/>
              <w:right w:val="single" w:sz="4" w:space="0" w:color="auto"/>
            </w:tcBorders>
            <w:vAlign w:val="center"/>
          </w:tcPr>
          <w:p w14:paraId="5425B5E7" w14:textId="71DDD7C7" w:rsidR="00964B2F" w:rsidRPr="007B7FFA" w:rsidRDefault="00964B2F" w:rsidP="00964B2F">
            <w:pPr>
              <w:rPr>
                <w:sz w:val="20"/>
                <w:szCs w:val="20"/>
              </w:rPr>
            </w:pPr>
            <w:r w:rsidRPr="007B7FFA">
              <w:rPr>
                <w:sz w:val="20"/>
                <w:szCs w:val="20"/>
              </w:rPr>
              <w:t>Résultats de l’année 202</w:t>
            </w:r>
            <w:r w:rsidR="00A668F8">
              <w:rPr>
                <w:sz w:val="20"/>
                <w:szCs w:val="20"/>
              </w:rPr>
              <w:t>3</w:t>
            </w:r>
          </w:p>
        </w:tc>
        <w:tc>
          <w:tcPr>
            <w:tcW w:w="2110" w:type="dxa"/>
            <w:tcBorders>
              <w:top w:val="single" w:sz="4" w:space="0" w:color="auto"/>
              <w:left w:val="nil"/>
              <w:bottom w:val="single" w:sz="4" w:space="0" w:color="auto"/>
              <w:right w:val="single" w:sz="4" w:space="0" w:color="auto"/>
            </w:tcBorders>
            <w:vAlign w:val="center"/>
          </w:tcPr>
          <w:p w14:paraId="78CFED58" w14:textId="31549525" w:rsidR="00964B2F" w:rsidRPr="007B7FFA" w:rsidRDefault="00A668F8" w:rsidP="00964B2F">
            <w:pPr>
              <w:jc w:val="center"/>
              <w:rPr>
                <w:b/>
                <w:bCs/>
                <w:sz w:val="20"/>
                <w:szCs w:val="20"/>
              </w:rPr>
            </w:pPr>
            <w:r>
              <w:rPr>
                <w:b/>
                <w:bCs/>
                <w:sz w:val="20"/>
                <w:szCs w:val="20"/>
              </w:rPr>
              <w:t>222</w:t>
            </w:r>
            <w:r w:rsidR="00964B2F">
              <w:rPr>
                <w:b/>
                <w:bCs/>
                <w:sz w:val="20"/>
                <w:szCs w:val="20"/>
              </w:rPr>
              <w:t xml:space="preserve"> </w:t>
            </w:r>
            <w:r>
              <w:rPr>
                <w:b/>
                <w:bCs/>
                <w:sz w:val="20"/>
                <w:szCs w:val="20"/>
              </w:rPr>
              <w:t>872</w:t>
            </w:r>
            <w:r w:rsidR="00964B2F">
              <w:rPr>
                <w:b/>
                <w:bCs/>
                <w:sz w:val="20"/>
                <w:szCs w:val="20"/>
              </w:rPr>
              <w:t>,</w:t>
            </w:r>
            <w:r>
              <w:rPr>
                <w:b/>
                <w:bCs/>
                <w:sz w:val="20"/>
                <w:szCs w:val="20"/>
              </w:rPr>
              <w:t>31</w:t>
            </w:r>
            <w:r w:rsidR="00964B2F">
              <w:rPr>
                <w:b/>
                <w:bCs/>
                <w:sz w:val="20"/>
                <w:szCs w:val="20"/>
              </w:rPr>
              <w:t xml:space="preserve"> €</w:t>
            </w:r>
          </w:p>
        </w:tc>
      </w:tr>
    </w:tbl>
    <w:p w14:paraId="68744C01" w14:textId="77777777" w:rsidR="002F6DD7" w:rsidRDefault="002F6DD7" w:rsidP="006102B1">
      <w:pPr>
        <w:spacing w:after="0" w:line="240" w:lineRule="auto"/>
        <w:jc w:val="both"/>
        <w:rPr>
          <w:b/>
          <w:bCs/>
          <w:sz w:val="20"/>
          <w:szCs w:val="20"/>
        </w:rPr>
      </w:pPr>
    </w:p>
    <w:p w14:paraId="0E0CB5A5" w14:textId="33310CE4" w:rsidR="00C36481" w:rsidRPr="00D56544" w:rsidRDefault="006102B1" w:rsidP="003743C4">
      <w:pPr>
        <w:spacing w:after="0" w:line="240" w:lineRule="auto"/>
        <w:jc w:val="both"/>
        <w:rPr>
          <w:sz w:val="20"/>
          <w:szCs w:val="20"/>
        </w:rPr>
      </w:pPr>
      <w:r w:rsidRPr="007B7FFA">
        <w:rPr>
          <w:b/>
          <w:bCs/>
          <w:sz w:val="20"/>
          <w:szCs w:val="20"/>
        </w:rPr>
        <w:t xml:space="preserve">b) Excédent </w:t>
      </w:r>
      <w:r w:rsidR="00C36481">
        <w:rPr>
          <w:b/>
          <w:bCs/>
          <w:sz w:val="20"/>
          <w:szCs w:val="20"/>
        </w:rPr>
        <w:t xml:space="preserve">ou déficit </w:t>
      </w:r>
      <w:r w:rsidRPr="007B7FFA">
        <w:rPr>
          <w:b/>
          <w:bCs/>
          <w:sz w:val="20"/>
          <w:szCs w:val="20"/>
        </w:rPr>
        <w:t>à reporter au budget primitif 202</w:t>
      </w:r>
      <w:r w:rsidR="00D56544">
        <w:rPr>
          <w:b/>
          <w:bCs/>
          <w:sz w:val="20"/>
          <w:szCs w:val="20"/>
        </w:rPr>
        <w:t>4</w:t>
      </w:r>
      <w:r w:rsidR="003743C4">
        <w:rPr>
          <w:b/>
          <w:bCs/>
          <w:sz w:val="20"/>
          <w:szCs w:val="20"/>
        </w:rPr>
        <w:t xml:space="preserve"> :</w:t>
      </w:r>
      <w:r w:rsidR="003743C4" w:rsidRPr="00D56544">
        <w:rPr>
          <w:sz w:val="20"/>
          <w:szCs w:val="20"/>
        </w:rPr>
        <w:t xml:space="preserve"> </w:t>
      </w:r>
      <w:r w:rsidR="00D56544" w:rsidRPr="00D56544">
        <w:rPr>
          <w:sz w:val="20"/>
          <w:szCs w:val="20"/>
        </w:rPr>
        <w:t>309</w:t>
      </w:r>
      <w:r w:rsidR="003743C4" w:rsidRPr="00D56544">
        <w:rPr>
          <w:sz w:val="20"/>
          <w:szCs w:val="20"/>
        </w:rPr>
        <w:t xml:space="preserve"> </w:t>
      </w:r>
      <w:r w:rsidR="00D56544" w:rsidRPr="00D56544">
        <w:rPr>
          <w:sz w:val="20"/>
          <w:szCs w:val="20"/>
        </w:rPr>
        <w:t>507</w:t>
      </w:r>
      <w:r w:rsidR="003743C4" w:rsidRPr="00D56544">
        <w:rPr>
          <w:sz w:val="20"/>
          <w:szCs w:val="20"/>
        </w:rPr>
        <w:t>,</w:t>
      </w:r>
      <w:r w:rsidR="00D56544" w:rsidRPr="00D56544">
        <w:rPr>
          <w:sz w:val="20"/>
          <w:szCs w:val="20"/>
        </w:rPr>
        <w:t>91</w:t>
      </w:r>
      <w:r w:rsidR="003743C4" w:rsidRPr="00D56544">
        <w:rPr>
          <w:sz w:val="20"/>
          <w:szCs w:val="20"/>
        </w:rPr>
        <w:t xml:space="preserve"> €</w:t>
      </w:r>
    </w:p>
    <w:p w14:paraId="1F41087F" w14:textId="00E33ED2" w:rsidR="00FB3E75" w:rsidRPr="006102B1" w:rsidRDefault="006102B1" w:rsidP="00F362B3">
      <w:pPr>
        <w:spacing w:after="0" w:line="240" w:lineRule="auto"/>
        <w:rPr>
          <w:b/>
          <w:bCs/>
          <w:sz w:val="20"/>
          <w:szCs w:val="20"/>
        </w:rPr>
      </w:pPr>
      <w:r w:rsidRPr="006102B1">
        <w:rPr>
          <w:b/>
          <w:bCs/>
          <w:sz w:val="20"/>
          <w:szCs w:val="20"/>
        </w:rPr>
        <w:t>C) Solde des restes à réaliser :</w:t>
      </w:r>
      <w:r w:rsidR="00C36481">
        <w:rPr>
          <w:b/>
          <w:bCs/>
          <w:sz w:val="20"/>
          <w:szCs w:val="20"/>
        </w:rPr>
        <w:t xml:space="preserve"> </w:t>
      </w:r>
      <w:r w:rsidR="00885965">
        <w:rPr>
          <w:b/>
          <w:bCs/>
          <w:sz w:val="20"/>
          <w:szCs w:val="20"/>
        </w:rPr>
        <w:t>-</w:t>
      </w:r>
      <w:r w:rsidR="00765AE8" w:rsidRPr="00765AE8">
        <w:rPr>
          <w:sz w:val="20"/>
          <w:szCs w:val="20"/>
        </w:rPr>
        <w:t xml:space="preserve"> </w:t>
      </w:r>
      <w:r w:rsidR="00885965" w:rsidRPr="00885965">
        <w:rPr>
          <w:sz w:val="20"/>
          <w:szCs w:val="20"/>
        </w:rPr>
        <w:t xml:space="preserve">360 991,31 </w:t>
      </w:r>
      <w:r w:rsidRPr="00B8461F">
        <w:rPr>
          <w:sz w:val="20"/>
          <w:szCs w:val="20"/>
        </w:rPr>
        <w:t>€</w:t>
      </w:r>
    </w:p>
    <w:p w14:paraId="1CEFBB24" w14:textId="77777777" w:rsidR="00F362B3" w:rsidRDefault="00F362B3" w:rsidP="00F362B3">
      <w:pPr>
        <w:spacing w:after="0" w:line="240" w:lineRule="auto"/>
        <w:jc w:val="both"/>
        <w:rPr>
          <w:b/>
          <w:bCs/>
          <w:sz w:val="20"/>
          <w:szCs w:val="20"/>
        </w:rPr>
      </w:pPr>
    </w:p>
    <w:p w14:paraId="33EB271A" w14:textId="77777777" w:rsidR="006102B1" w:rsidRPr="007B7FFA" w:rsidRDefault="006102B1" w:rsidP="00F362B3">
      <w:pPr>
        <w:spacing w:after="0" w:line="240" w:lineRule="auto"/>
        <w:jc w:val="both"/>
        <w:rPr>
          <w:b/>
          <w:bCs/>
          <w:sz w:val="20"/>
          <w:szCs w:val="20"/>
        </w:rPr>
      </w:pPr>
      <w:r>
        <w:rPr>
          <w:b/>
          <w:bCs/>
          <w:sz w:val="20"/>
          <w:szCs w:val="20"/>
        </w:rPr>
        <w:t>2</w:t>
      </w:r>
      <w:r w:rsidRPr="007B7FFA">
        <w:rPr>
          <w:b/>
          <w:bCs/>
          <w:sz w:val="20"/>
          <w:szCs w:val="20"/>
        </w:rPr>
        <w:t>.2 Analyse</w:t>
      </w:r>
    </w:p>
    <w:p w14:paraId="5F47CDCF" w14:textId="77777777" w:rsidR="006102B1" w:rsidRPr="007B7FFA" w:rsidRDefault="006102B1" w:rsidP="00F362B3">
      <w:pPr>
        <w:spacing w:after="0" w:line="240" w:lineRule="auto"/>
        <w:jc w:val="both"/>
        <w:rPr>
          <w:b/>
          <w:bCs/>
          <w:color w:val="7030A0"/>
          <w:sz w:val="20"/>
          <w:szCs w:val="20"/>
        </w:rPr>
      </w:pPr>
      <w:r w:rsidRPr="007B7FFA">
        <w:rPr>
          <w:b/>
          <w:bCs/>
          <w:color w:val="7030A0"/>
          <w:sz w:val="20"/>
          <w:szCs w:val="20"/>
        </w:rPr>
        <w:t>Les dépenses d</w:t>
      </w:r>
      <w:r>
        <w:rPr>
          <w:b/>
          <w:bCs/>
          <w:color w:val="7030A0"/>
          <w:sz w:val="20"/>
          <w:szCs w:val="20"/>
        </w:rPr>
        <w:t>’investissement</w:t>
      </w:r>
      <w:r w:rsidRPr="007B7FFA">
        <w:rPr>
          <w:b/>
          <w:bCs/>
          <w:color w:val="7030A0"/>
          <w:sz w:val="20"/>
          <w:szCs w:val="20"/>
        </w:rPr>
        <w:t> :</w:t>
      </w:r>
    </w:p>
    <w:p w14:paraId="60AF7555" w14:textId="77777777" w:rsidR="00C97388" w:rsidRPr="004A5B4B" w:rsidRDefault="006102B1" w:rsidP="00F362B3">
      <w:pPr>
        <w:spacing w:after="0" w:line="240" w:lineRule="auto"/>
        <w:rPr>
          <w:sz w:val="20"/>
          <w:szCs w:val="20"/>
        </w:rPr>
      </w:pPr>
      <w:r w:rsidRPr="004A5B4B">
        <w:rPr>
          <w:sz w:val="20"/>
          <w:szCs w:val="20"/>
        </w:rPr>
        <w:t>Ce sont des dépenses faisant varier durablement la valeur ou la consistance du patrimoine de la collectivité</w:t>
      </w:r>
      <w:r w:rsidR="00F362B3" w:rsidRPr="004A5B4B">
        <w:rPr>
          <w:sz w:val="20"/>
          <w:szCs w:val="20"/>
        </w:rPr>
        <w:t xml:space="preserve"> et le remboursement du capital des emprunts contractés.</w:t>
      </w:r>
    </w:p>
    <w:p w14:paraId="463536BD" w14:textId="77777777" w:rsidR="00F362B3" w:rsidRDefault="00F362B3" w:rsidP="00F362B3">
      <w:pPr>
        <w:spacing w:after="0" w:line="240" w:lineRule="auto"/>
      </w:pPr>
    </w:p>
    <w:p w14:paraId="0281C9FB" w14:textId="77777777" w:rsidR="00AE1F74" w:rsidRPr="007B7FFA" w:rsidRDefault="00AE1F74" w:rsidP="00AE1F74">
      <w:pPr>
        <w:pStyle w:val="Paragraphedeliste"/>
        <w:numPr>
          <w:ilvl w:val="0"/>
          <w:numId w:val="1"/>
        </w:numPr>
        <w:spacing w:after="0" w:line="240" w:lineRule="auto"/>
        <w:jc w:val="both"/>
        <w:rPr>
          <w:b/>
          <w:bCs/>
          <w:sz w:val="20"/>
          <w:szCs w:val="20"/>
          <w:u w:val="single"/>
        </w:rPr>
      </w:pPr>
      <w:r>
        <w:rPr>
          <w:b/>
          <w:bCs/>
          <w:sz w:val="20"/>
          <w:szCs w:val="20"/>
          <w:u w:val="single"/>
        </w:rPr>
        <w:t xml:space="preserve">1) Emprunts et dettes assimilés </w:t>
      </w:r>
      <w:r w:rsidRPr="007B7FFA">
        <w:rPr>
          <w:b/>
          <w:bCs/>
          <w:sz w:val="20"/>
          <w:szCs w:val="20"/>
          <w:u w:val="single"/>
        </w:rPr>
        <w:t xml:space="preserve">(chapitre </w:t>
      </w:r>
      <w:r>
        <w:rPr>
          <w:b/>
          <w:bCs/>
          <w:sz w:val="20"/>
          <w:szCs w:val="20"/>
          <w:u w:val="single"/>
        </w:rPr>
        <w:t>16</w:t>
      </w:r>
      <w:r w:rsidRPr="007B7FFA">
        <w:rPr>
          <w:b/>
          <w:bCs/>
          <w:sz w:val="20"/>
          <w:szCs w:val="20"/>
          <w:u w:val="single"/>
        </w:rPr>
        <w:t>)</w:t>
      </w:r>
    </w:p>
    <w:p w14:paraId="482E4314" w14:textId="5289A477" w:rsidR="00F362B3" w:rsidRPr="004A5B4B" w:rsidRDefault="00AE1F74" w:rsidP="003147C9">
      <w:pPr>
        <w:spacing w:after="0" w:line="240" w:lineRule="auto"/>
        <w:rPr>
          <w:sz w:val="20"/>
          <w:szCs w:val="20"/>
        </w:rPr>
      </w:pPr>
      <w:r w:rsidRPr="004A5B4B">
        <w:rPr>
          <w:sz w:val="20"/>
          <w:szCs w:val="20"/>
        </w:rPr>
        <w:t>L</w:t>
      </w:r>
      <w:r w:rsidR="00D552E6" w:rsidRPr="004A5B4B">
        <w:rPr>
          <w:sz w:val="20"/>
          <w:szCs w:val="20"/>
        </w:rPr>
        <w:t xml:space="preserve">e remboursement du capital de la dette </w:t>
      </w:r>
      <w:r w:rsidRPr="004A5B4B">
        <w:rPr>
          <w:sz w:val="20"/>
          <w:szCs w:val="20"/>
        </w:rPr>
        <w:t>était</w:t>
      </w:r>
      <w:r w:rsidR="00D552E6" w:rsidRPr="004A5B4B">
        <w:rPr>
          <w:sz w:val="20"/>
          <w:szCs w:val="20"/>
        </w:rPr>
        <w:t xml:space="preserve"> </w:t>
      </w:r>
      <w:r w:rsidR="00D552E6" w:rsidRPr="00B63FC4">
        <w:rPr>
          <w:sz w:val="20"/>
          <w:szCs w:val="20"/>
        </w:rPr>
        <w:t xml:space="preserve">de </w:t>
      </w:r>
      <w:r w:rsidR="00B63FC4" w:rsidRPr="00B63FC4">
        <w:rPr>
          <w:sz w:val="20"/>
          <w:szCs w:val="20"/>
        </w:rPr>
        <w:t>2</w:t>
      </w:r>
      <w:r w:rsidR="00305E2C">
        <w:rPr>
          <w:sz w:val="20"/>
          <w:szCs w:val="20"/>
        </w:rPr>
        <w:t>52</w:t>
      </w:r>
      <w:r w:rsidR="00B63FC4" w:rsidRPr="00B63FC4">
        <w:rPr>
          <w:sz w:val="20"/>
          <w:szCs w:val="20"/>
        </w:rPr>
        <w:t xml:space="preserve"> </w:t>
      </w:r>
      <w:r w:rsidR="00305E2C">
        <w:rPr>
          <w:sz w:val="20"/>
          <w:szCs w:val="20"/>
        </w:rPr>
        <w:t>021</w:t>
      </w:r>
      <w:r w:rsidR="00B63FC4" w:rsidRPr="00B63FC4">
        <w:rPr>
          <w:sz w:val="20"/>
          <w:szCs w:val="20"/>
        </w:rPr>
        <w:t>,</w:t>
      </w:r>
      <w:r w:rsidR="00305E2C">
        <w:rPr>
          <w:sz w:val="20"/>
          <w:szCs w:val="20"/>
        </w:rPr>
        <w:t>22</w:t>
      </w:r>
      <w:r w:rsidR="00B63FC4" w:rsidRPr="00B63FC4">
        <w:rPr>
          <w:sz w:val="20"/>
          <w:szCs w:val="20"/>
        </w:rPr>
        <w:t xml:space="preserve"> </w:t>
      </w:r>
      <w:r w:rsidR="00D552E6" w:rsidRPr="00B63FC4">
        <w:rPr>
          <w:sz w:val="20"/>
          <w:szCs w:val="20"/>
        </w:rPr>
        <w:t>€</w:t>
      </w:r>
      <w:r w:rsidR="00BF7020" w:rsidRPr="00B63FC4">
        <w:rPr>
          <w:sz w:val="20"/>
          <w:szCs w:val="20"/>
        </w:rPr>
        <w:t xml:space="preserve"> en 202</w:t>
      </w:r>
      <w:r w:rsidR="00305E2C">
        <w:rPr>
          <w:sz w:val="20"/>
          <w:szCs w:val="20"/>
        </w:rPr>
        <w:t>3</w:t>
      </w:r>
      <w:r w:rsidR="00BF7020" w:rsidRPr="00B63FC4">
        <w:rPr>
          <w:sz w:val="20"/>
          <w:szCs w:val="20"/>
        </w:rPr>
        <w:t>.</w:t>
      </w:r>
    </w:p>
    <w:p w14:paraId="31D02625" w14:textId="1725EE76" w:rsidR="00F362B3" w:rsidRPr="003743C4" w:rsidRDefault="00D552E6" w:rsidP="003147C9">
      <w:pPr>
        <w:spacing w:line="240" w:lineRule="auto"/>
        <w:rPr>
          <w:sz w:val="20"/>
          <w:szCs w:val="20"/>
        </w:rPr>
      </w:pPr>
      <w:r w:rsidRPr="004A5B4B">
        <w:rPr>
          <w:sz w:val="20"/>
          <w:szCs w:val="20"/>
        </w:rPr>
        <w:t>Pour mémoire, la commune a plusieurs emprunts</w:t>
      </w:r>
      <w:r w:rsidR="00AE1F74" w:rsidRPr="004A5B4B">
        <w:rPr>
          <w:sz w:val="20"/>
          <w:szCs w:val="20"/>
        </w:rPr>
        <w:t xml:space="preserve"> contractés, à taux </w:t>
      </w:r>
      <w:r w:rsidR="002F6DD7" w:rsidRPr="004A5B4B">
        <w:rPr>
          <w:sz w:val="20"/>
          <w:szCs w:val="20"/>
        </w:rPr>
        <w:t>fixes, auprès</w:t>
      </w:r>
      <w:r w:rsidR="00C36481" w:rsidRPr="004A5B4B">
        <w:rPr>
          <w:sz w:val="20"/>
          <w:szCs w:val="20"/>
        </w:rPr>
        <w:t xml:space="preserve"> </w:t>
      </w:r>
      <w:r w:rsidR="003743C4">
        <w:rPr>
          <w:sz w:val="20"/>
          <w:szCs w:val="20"/>
        </w:rPr>
        <w:t xml:space="preserve">de la caisse d'épargne, le crédit agricole, et de la Banque Postale, </w:t>
      </w:r>
      <w:r w:rsidR="003743C4" w:rsidRPr="003743C4">
        <w:rPr>
          <w:sz w:val="20"/>
          <w:szCs w:val="20"/>
        </w:rPr>
        <w:t>et un à taux indexé sur le livret A, auprès de la caisse des dépôts</w:t>
      </w:r>
      <w:r w:rsidR="00AE1F74" w:rsidRPr="003743C4">
        <w:rPr>
          <w:sz w:val="20"/>
          <w:szCs w:val="20"/>
        </w:rPr>
        <w:t xml:space="preserve">. </w:t>
      </w:r>
    </w:p>
    <w:p w14:paraId="195415B0" w14:textId="6E2C129E" w:rsidR="00AE1F74" w:rsidRPr="00C20961" w:rsidRDefault="00AE1F74" w:rsidP="00C97388">
      <w:pPr>
        <w:rPr>
          <w:sz w:val="20"/>
          <w:szCs w:val="20"/>
        </w:rPr>
      </w:pPr>
      <w:r w:rsidRPr="004A5B4B">
        <w:rPr>
          <w:sz w:val="20"/>
          <w:szCs w:val="20"/>
        </w:rPr>
        <w:t>Le capital restant dû au 31 décembre 202</w:t>
      </w:r>
      <w:r w:rsidR="00504C20">
        <w:rPr>
          <w:sz w:val="20"/>
          <w:szCs w:val="20"/>
        </w:rPr>
        <w:t>3</w:t>
      </w:r>
      <w:r w:rsidRPr="004A5B4B">
        <w:rPr>
          <w:sz w:val="20"/>
          <w:szCs w:val="20"/>
        </w:rPr>
        <w:t xml:space="preserve"> </w:t>
      </w:r>
      <w:r w:rsidRPr="00C20961">
        <w:rPr>
          <w:sz w:val="20"/>
          <w:szCs w:val="20"/>
        </w:rPr>
        <w:t>est de</w:t>
      </w:r>
      <w:r w:rsidR="00C36481" w:rsidRPr="00C20961">
        <w:rPr>
          <w:sz w:val="20"/>
          <w:szCs w:val="20"/>
        </w:rPr>
        <w:t xml:space="preserve"> </w:t>
      </w:r>
      <w:r w:rsidR="00C20961" w:rsidRPr="00C20961">
        <w:rPr>
          <w:sz w:val="20"/>
          <w:szCs w:val="20"/>
        </w:rPr>
        <w:t xml:space="preserve">2 </w:t>
      </w:r>
      <w:r w:rsidR="00504C20">
        <w:rPr>
          <w:sz w:val="20"/>
          <w:szCs w:val="20"/>
        </w:rPr>
        <w:t>585</w:t>
      </w:r>
      <w:r w:rsidR="00C20961" w:rsidRPr="00C20961">
        <w:rPr>
          <w:sz w:val="20"/>
          <w:szCs w:val="20"/>
        </w:rPr>
        <w:t xml:space="preserve"> </w:t>
      </w:r>
      <w:r w:rsidR="00504C20">
        <w:rPr>
          <w:sz w:val="20"/>
          <w:szCs w:val="20"/>
        </w:rPr>
        <w:t>144</w:t>
      </w:r>
      <w:r w:rsidR="00C20961" w:rsidRPr="00C20961">
        <w:rPr>
          <w:sz w:val="20"/>
          <w:szCs w:val="20"/>
        </w:rPr>
        <w:t>,</w:t>
      </w:r>
      <w:r w:rsidR="00504C20">
        <w:rPr>
          <w:sz w:val="20"/>
          <w:szCs w:val="20"/>
        </w:rPr>
        <w:t>68</w:t>
      </w:r>
      <w:r w:rsidR="00C36481" w:rsidRPr="00C20961">
        <w:rPr>
          <w:sz w:val="20"/>
          <w:szCs w:val="20"/>
        </w:rPr>
        <w:t xml:space="preserve"> </w:t>
      </w:r>
      <w:r w:rsidRPr="00C20961">
        <w:rPr>
          <w:sz w:val="20"/>
          <w:szCs w:val="20"/>
        </w:rPr>
        <w:t>€.</w:t>
      </w:r>
    </w:p>
    <w:p w14:paraId="49D0B5E9" w14:textId="77777777" w:rsidR="00AE1F74" w:rsidRPr="000E0134" w:rsidRDefault="00AE1F74" w:rsidP="00AE1F74">
      <w:pPr>
        <w:pStyle w:val="Paragraphedeliste"/>
        <w:numPr>
          <w:ilvl w:val="0"/>
          <w:numId w:val="1"/>
        </w:numPr>
        <w:spacing w:after="0" w:line="240" w:lineRule="auto"/>
        <w:jc w:val="both"/>
        <w:rPr>
          <w:b/>
          <w:bCs/>
          <w:sz w:val="20"/>
          <w:szCs w:val="20"/>
          <w:u w:val="single"/>
        </w:rPr>
      </w:pPr>
      <w:r w:rsidRPr="000E0134">
        <w:rPr>
          <w:b/>
          <w:bCs/>
          <w:sz w:val="20"/>
          <w:szCs w:val="20"/>
          <w:u w:val="single"/>
        </w:rPr>
        <w:t xml:space="preserve">2) </w:t>
      </w:r>
      <w:r w:rsidR="003E104D" w:rsidRPr="000E0134">
        <w:rPr>
          <w:b/>
          <w:bCs/>
          <w:sz w:val="20"/>
          <w:szCs w:val="20"/>
          <w:u w:val="single"/>
        </w:rPr>
        <w:t>C</w:t>
      </w:r>
      <w:r w:rsidRPr="000E0134">
        <w:rPr>
          <w:b/>
          <w:bCs/>
          <w:sz w:val="20"/>
          <w:szCs w:val="20"/>
          <w:u w:val="single"/>
        </w:rPr>
        <w:t>hapitres 21 et 23</w:t>
      </w:r>
    </w:p>
    <w:p w14:paraId="584A7C24" w14:textId="0501A737" w:rsidR="001E6B05" w:rsidRDefault="006102B1" w:rsidP="00EE4683">
      <w:pPr>
        <w:spacing w:after="0"/>
        <w:rPr>
          <w:rFonts w:cstheme="minorHAnsi"/>
          <w:sz w:val="20"/>
          <w:szCs w:val="20"/>
        </w:rPr>
      </w:pPr>
      <w:r w:rsidRPr="004A5B4B">
        <w:rPr>
          <w:rFonts w:cstheme="minorHAnsi"/>
          <w:sz w:val="20"/>
          <w:szCs w:val="20"/>
        </w:rPr>
        <w:t>Le</w:t>
      </w:r>
      <w:r w:rsidR="00F362B3" w:rsidRPr="004A5B4B">
        <w:rPr>
          <w:rFonts w:cstheme="minorHAnsi"/>
          <w:sz w:val="20"/>
          <w:szCs w:val="20"/>
        </w:rPr>
        <w:t xml:space="preserve">s principaux </w:t>
      </w:r>
      <w:r w:rsidRPr="004A5B4B">
        <w:rPr>
          <w:rFonts w:cstheme="minorHAnsi"/>
          <w:sz w:val="20"/>
          <w:szCs w:val="20"/>
        </w:rPr>
        <w:t>investissements réalisés en 202</w:t>
      </w:r>
      <w:r w:rsidR="006120D3">
        <w:rPr>
          <w:rFonts w:cstheme="minorHAnsi"/>
          <w:sz w:val="20"/>
          <w:szCs w:val="20"/>
        </w:rPr>
        <w:t>3</w:t>
      </w:r>
      <w:r w:rsidR="00F362B3" w:rsidRPr="004A5B4B">
        <w:rPr>
          <w:rFonts w:cstheme="minorHAnsi"/>
          <w:sz w:val="20"/>
          <w:szCs w:val="20"/>
        </w:rPr>
        <w:t xml:space="preserve"> sont les suivants :</w:t>
      </w:r>
      <w:r w:rsidR="00545D56" w:rsidRPr="004A5B4B">
        <w:rPr>
          <w:rFonts w:cstheme="minorHAnsi"/>
          <w:sz w:val="20"/>
          <w:szCs w:val="20"/>
        </w:rPr>
        <w:t xml:space="preserve"> </w:t>
      </w:r>
    </w:p>
    <w:p w14:paraId="0ED4BD49" w14:textId="6F8DD5F8" w:rsidR="00EE4683" w:rsidRDefault="00EE4683" w:rsidP="00EE4683">
      <w:pPr>
        <w:tabs>
          <w:tab w:val="left" w:pos="284"/>
        </w:tabs>
        <w:spacing w:after="0"/>
        <w:rPr>
          <w:rFonts w:cstheme="minorHAnsi"/>
          <w:sz w:val="20"/>
          <w:szCs w:val="20"/>
        </w:rPr>
      </w:pPr>
      <w:r>
        <w:rPr>
          <w:rFonts w:cstheme="minorHAnsi"/>
          <w:sz w:val="20"/>
          <w:szCs w:val="20"/>
        </w:rPr>
        <w:t>-</w:t>
      </w:r>
      <w:r>
        <w:rPr>
          <w:rFonts w:cstheme="minorHAnsi"/>
          <w:sz w:val="20"/>
          <w:szCs w:val="20"/>
        </w:rPr>
        <w:tab/>
      </w:r>
      <w:r w:rsidR="0063411F">
        <w:rPr>
          <w:rFonts w:cstheme="minorHAnsi"/>
          <w:sz w:val="20"/>
          <w:szCs w:val="20"/>
        </w:rPr>
        <w:t>Le remplacement de menuiseries au groupe scolaire</w:t>
      </w:r>
    </w:p>
    <w:p w14:paraId="1590A07A" w14:textId="70C3A7F0" w:rsidR="00977354" w:rsidRDefault="00977354" w:rsidP="00EE4683">
      <w:pPr>
        <w:tabs>
          <w:tab w:val="left" w:pos="284"/>
        </w:tabs>
        <w:spacing w:after="0"/>
        <w:rPr>
          <w:rFonts w:cstheme="minorHAnsi"/>
          <w:sz w:val="20"/>
          <w:szCs w:val="20"/>
        </w:rPr>
      </w:pPr>
      <w:r>
        <w:rPr>
          <w:rFonts w:cstheme="minorHAnsi"/>
          <w:sz w:val="20"/>
          <w:szCs w:val="20"/>
        </w:rPr>
        <w:t>-</w:t>
      </w:r>
      <w:r>
        <w:rPr>
          <w:rFonts w:cstheme="minorHAnsi"/>
          <w:sz w:val="20"/>
          <w:szCs w:val="20"/>
        </w:rPr>
        <w:tab/>
      </w:r>
      <w:r w:rsidR="00556485">
        <w:rPr>
          <w:rFonts w:cstheme="minorHAnsi"/>
          <w:sz w:val="20"/>
          <w:szCs w:val="20"/>
        </w:rPr>
        <w:t>les travaux de sécurisation aux abords du groupe scolaire et rue des Bruyères</w:t>
      </w:r>
    </w:p>
    <w:p w14:paraId="32B4624F" w14:textId="420BE1D5" w:rsidR="00977354" w:rsidRDefault="00977354" w:rsidP="00EE4683">
      <w:pPr>
        <w:tabs>
          <w:tab w:val="left" w:pos="284"/>
        </w:tabs>
        <w:spacing w:after="0"/>
        <w:rPr>
          <w:rFonts w:cstheme="minorHAnsi"/>
          <w:sz w:val="20"/>
          <w:szCs w:val="20"/>
        </w:rPr>
      </w:pPr>
      <w:r>
        <w:rPr>
          <w:rFonts w:cstheme="minorHAnsi"/>
          <w:sz w:val="20"/>
          <w:szCs w:val="20"/>
        </w:rPr>
        <w:t>-</w:t>
      </w:r>
      <w:r>
        <w:rPr>
          <w:rFonts w:cstheme="minorHAnsi"/>
          <w:sz w:val="20"/>
          <w:szCs w:val="20"/>
        </w:rPr>
        <w:tab/>
        <w:t>Le remplacement de poteaux incendie</w:t>
      </w:r>
    </w:p>
    <w:p w14:paraId="701DC0D1" w14:textId="7ADE89F3" w:rsidR="00125882" w:rsidRDefault="00125882" w:rsidP="00EE4683">
      <w:pPr>
        <w:tabs>
          <w:tab w:val="left" w:pos="284"/>
        </w:tabs>
        <w:spacing w:after="0"/>
        <w:rPr>
          <w:rFonts w:cstheme="minorHAnsi"/>
          <w:sz w:val="20"/>
          <w:szCs w:val="20"/>
        </w:rPr>
      </w:pPr>
      <w:r>
        <w:rPr>
          <w:rFonts w:cstheme="minorHAnsi"/>
          <w:sz w:val="20"/>
          <w:szCs w:val="20"/>
        </w:rPr>
        <w:t>-</w:t>
      </w:r>
      <w:r>
        <w:rPr>
          <w:rFonts w:cstheme="minorHAnsi"/>
          <w:sz w:val="20"/>
          <w:szCs w:val="20"/>
        </w:rPr>
        <w:tab/>
        <w:t>Le remplacement de menuiseries au bâtiment des services techniques</w:t>
      </w:r>
    </w:p>
    <w:p w14:paraId="765ED0E2" w14:textId="0B003D21" w:rsidR="003051BE" w:rsidRDefault="003051BE" w:rsidP="00EE4683">
      <w:pPr>
        <w:tabs>
          <w:tab w:val="left" w:pos="284"/>
        </w:tabs>
        <w:spacing w:after="0"/>
        <w:rPr>
          <w:rFonts w:cstheme="minorHAnsi"/>
          <w:sz w:val="20"/>
          <w:szCs w:val="20"/>
        </w:rPr>
      </w:pPr>
      <w:r>
        <w:rPr>
          <w:rFonts w:cstheme="minorHAnsi"/>
          <w:sz w:val="20"/>
          <w:szCs w:val="20"/>
        </w:rPr>
        <w:t>-</w:t>
      </w:r>
      <w:r>
        <w:rPr>
          <w:rFonts w:cstheme="minorHAnsi"/>
          <w:sz w:val="20"/>
          <w:szCs w:val="20"/>
        </w:rPr>
        <w:tab/>
        <w:t>L'acquisition de matériel et de mobilier</w:t>
      </w:r>
    </w:p>
    <w:p w14:paraId="673A3A46" w14:textId="7392AB2D" w:rsidR="00EE4683" w:rsidRDefault="003051BE" w:rsidP="00EE4683">
      <w:pPr>
        <w:tabs>
          <w:tab w:val="left" w:pos="284"/>
        </w:tabs>
        <w:spacing w:after="0"/>
        <w:rPr>
          <w:rFonts w:cstheme="minorHAnsi"/>
          <w:sz w:val="20"/>
          <w:szCs w:val="20"/>
        </w:rPr>
      </w:pPr>
      <w:r>
        <w:rPr>
          <w:rFonts w:cstheme="minorHAnsi"/>
          <w:sz w:val="20"/>
          <w:szCs w:val="20"/>
        </w:rPr>
        <w:t>-</w:t>
      </w:r>
      <w:r>
        <w:rPr>
          <w:rFonts w:cstheme="minorHAnsi"/>
          <w:sz w:val="20"/>
          <w:szCs w:val="20"/>
        </w:rPr>
        <w:tab/>
        <w:t xml:space="preserve">Les travaux </w:t>
      </w:r>
      <w:r w:rsidR="00983845">
        <w:rPr>
          <w:rFonts w:cstheme="minorHAnsi"/>
          <w:sz w:val="20"/>
          <w:szCs w:val="20"/>
        </w:rPr>
        <w:t>aux bâtiments scolaires</w:t>
      </w:r>
    </w:p>
    <w:p w14:paraId="601DAFF1" w14:textId="49854668" w:rsidR="00EE4683" w:rsidRDefault="00127DEB" w:rsidP="00EE4683">
      <w:pPr>
        <w:tabs>
          <w:tab w:val="left" w:pos="284"/>
        </w:tabs>
        <w:spacing w:after="0"/>
        <w:rPr>
          <w:rFonts w:cstheme="minorHAnsi"/>
          <w:sz w:val="20"/>
          <w:szCs w:val="20"/>
        </w:rPr>
      </w:pPr>
      <w:r>
        <w:rPr>
          <w:rFonts w:cstheme="minorHAnsi"/>
          <w:sz w:val="20"/>
          <w:szCs w:val="20"/>
        </w:rPr>
        <w:t>-</w:t>
      </w:r>
      <w:r>
        <w:rPr>
          <w:rFonts w:cstheme="minorHAnsi"/>
          <w:sz w:val="20"/>
          <w:szCs w:val="20"/>
        </w:rPr>
        <w:tab/>
        <w:t>L'aménagement de la voirie Impasse Pasteur</w:t>
      </w:r>
    </w:p>
    <w:p w14:paraId="28F33F74" w14:textId="7986F581" w:rsidR="00D8322A" w:rsidRDefault="00D8322A" w:rsidP="00EE4683">
      <w:pPr>
        <w:tabs>
          <w:tab w:val="left" w:pos="284"/>
        </w:tabs>
        <w:spacing w:after="0"/>
        <w:rPr>
          <w:rFonts w:cstheme="minorHAnsi"/>
          <w:sz w:val="20"/>
          <w:szCs w:val="20"/>
        </w:rPr>
      </w:pPr>
      <w:r>
        <w:rPr>
          <w:rFonts w:cstheme="minorHAnsi"/>
          <w:sz w:val="20"/>
          <w:szCs w:val="20"/>
        </w:rPr>
        <w:t>-</w:t>
      </w:r>
      <w:r>
        <w:rPr>
          <w:rFonts w:cstheme="minorHAnsi"/>
          <w:sz w:val="20"/>
          <w:szCs w:val="20"/>
        </w:rPr>
        <w:tab/>
        <w:t>Le remplacement de la téléphonie aux services techniques et administratifs</w:t>
      </w:r>
    </w:p>
    <w:p w14:paraId="7A41CB96" w14:textId="77777777" w:rsidR="00AC3388" w:rsidRDefault="00AC3388" w:rsidP="00EE4683">
      <w:pPr>
        <w:tabs>
          <w:tab w:val="left" w:pos="284"/>
        </w:tabs>
        <w:spacing w:after="0"/>
        <w:rPr>
          <w:rFonts w:cstheme="minorHAnsi"/>
          <w:sz w:val="20"/>
          <w:szCs w:val="20"/>
        </w:rPr>
      </w:pPr>
    </w:p>
    <w:p w14:paraId="41AB2808" w14:textId="77777777" w:rsidR="00AC3388" w:rsidRDefault="00AC3388" w:rsidP="00EE4683">
      <w:pPr>
        <w:tabs>
          <w:tab w:val="left" w:pos="284"/>
        </w:tabs>
        <w:spacing w:after="0"/>
        <w:rPr>
          <w:rFonts w:cstheme="minorHAnsi"/>
          <w:sz w:val="20"/>
          <w:szCs w:val="20"/>
        </w:rPr>
      </w:pPr>
    </w:p>
    <w:p w14:paraId="475567D0" w14:textId="77777777" w:rsidR="00AC3388" w:rsidRPr="004A5B4B" w:rsidRDefault="00AC3388" w:rsidP="00EE4683">
      <w:pPr>
        <w:tabs>
          <w:tab w:val="left" w:pos="284"/>
        </w:tabs>
        <w:spacing w:after="0"/>
        <w:rPr>
          <w:rFonts w:cstheme="minorHAnsi"/>
          <w:sz w:val="20"/>
          <w:szCs w:val="20"/>
        </w:rPr>
      </w:pPr>
    </w:p>
    <w:p w14:paraId="546120BA" w14:textId="77777777" w:rsidR="00C36481" w:rsidRPr="004A5B4B" w:rsidRDefault="00C36481" w:rsidP="00D552E6">
      <w:pPr>
        <w:spacing w:after="0" w:line="240" w:lineRule="auto"/>
        <w:jc w:val="both"/>
        <w:rPr>
          <w:rFonts w:cstheme="minorHAnsi"/>
          <w:b/>
          <w:bCs/>
          <w:color w:val="7030A0"/>
          <w:sz w:val="20"/>
          <w:szCs w:val="20"/>
        </w:rPr>
      </w:pPr>
    </w:p>
    <w:p w14:paraId="68A19F0B" w14:textId="024962D4" w:rsidR="00D552E6" w:rsidRPr="004A5B4B" w:rsidRDefault="00D552E6" w:rsidP="00D552E6">
      <w:pPr>
        <w:spacing w:after="0" w:line="240" w:lineRule="auto"/>
        <w:jc w:val="both"/>
        <w:rPr>
          <w:rFonts w:cstheme="minorHAnsi"/>
          <w:b/>
          <w:bCs/>
          <w:color w:val="7030A0"/>
          <w:sz w:val="20"/>
          <w:szCs w:val="20"/>
        </w:rPr>
      </w:pPr>
      <w:r w:rsidRPr="004A5B4B">
        <w:rPr>
          <w:rFonts w:cstheme="minorHAnsi"/>
          <w:b/>
          <w:bCs/>
          <w:color w:val="7030A0"/>
          <w:sz w:val="20"/>
          <w:szCs w:val="20"/>
        </w:rPr>
        <w:t>Les recettes d’investissement :</w:t>
      </w:r>
    </w:p>
    <w:p w14:paraId="1B5F55F2" w14:textId="77777777" w:rsidR="00C97388" w:rsidRPr="004A5B4B" w:rsidRDefault="00F13F31" w:rsidP="003147C9">
      <w:pPr>
        <w:spacing w:line="240" w:lineRule="auto"/>
        <w:rPr>
          <w:rFonts w:cstheme="minorHAnsi"/>
          <w:sz w:val="20"/>
          <w:szCs w:val="20"/>
        </w:rPr>
      </w:pPr>
      <w:r w:rsidRPr="004A5B4B">
        <w:rPr>
          <w:rFonts w:cstheme="minorHAnsi"/>
          <w:sz w:val="20"/>
          <w:szCs w:val="20"/>
        </w:rPr>
        <w:t>Ces recettes englobent les ressources propres, les recettes perçues liées aux projets d’investissement retenus, les recettes en lien avec l’urbanisme (la taxe d’aménagement) et, si besoin, les emprunts nouveaux.</w:t>
      </w:r>
    </w:p>
    <w:p w14:paraId="3370DC70" w14:textId="48BE2A8D" w:rsidR="00F13F31" w:rsidRPr="004A5B4B" w:rsidRDefault="00F13F31" w:rsidP="00C97388">
      <w:pPr>
        <w:rPr>
          <w:rFonts w:cstheme="minorHAnsi"/>
          <w:sz w:val="20"/>
          <w:szCs w:val="20"/>
        </w:rPr>
      </w:pPr>
      <w:r w:rsidRPr="004A5B4B">
        <w:rPr>
          <w:rFonts w:cstheme="minorHAnsi"/>
          <w:sz w:val="20"/>
          <w:szCs w:val="20"/>
        </w:rPr>
        <w:t>Pour l’année 202</w:t>
      </w:r>
      <w:r w:rsidR="00BB3E74">
        <w:rPr>
          <w:rFonts w:cstheme="minorHAnsi"/>
          <w:sz w:val="20"/>
          <w:szCs w:val="20"/>
        </w:rPr>
        <w:t>3</w:t>
      </w:r>
      <w:r w:rsidRPr="004A5B4B">
        <w:rPr>
          <w:rFonts w:cstheme="minorHAnsi"/>
          <w:sz w:val="20"/>
          <w:szCs w:val="20"/>
        </w:rPr>
        <w:t xml:space="preserve">, les recettes d’investissement s’élèvent à </w:t>
      </w:r>
      <w:r w:rsidR="000E6A35">
        <w:rPr>
          <w:rFonts w:cstheme="minorHAnsi"/>
          <w:sz w:val="20"/>
          <w:szCs w:val="20"/>
        </w:rPr>
        <w:t>914 043,61</w:t>
      </w:r>
      <w:r w:rsidR="00B15A64">
        <w:rPr>
          <w:rFonts w:cstheme="minorHAnsi"/>
          <w:color w:val="7030A0"/>
          <w:sz w:val="20"/>
          <w:szCs w:val="20"/>
        </w:rPr>
        <w:t xml:space="preserve"> </w:t>
      </w:r>
      <w:r w:rsidRPr="004A5B4B">
        <w:rPr>
          <w:rFonts w:cstheme="minorHAnsi"/>
          <w:sz w:val="20"/>
          <w:szCs w:val="20"/>
        </w:rPr>
        <w:t>€. Elles comprennent :</w:t>
      </w:r>
    </w:p>
    <w:p w14:paraId="0BC57F05" w14:textId="74E572CA" w:rsidR="00F13F31" w:rsidRPr="004A5B4B" w:rsidRDefault="00C86751" w:rsidP="00C86751">
      <w:pPr>
        <w:pStyle w:val="Paragraphedeliste"/>
        <w:numPr>
          <w:ilvl w:val="0"/>
          <w:numId w:val="1"/>
        </w:numPr>
        <w:spacing w:after="0" w:line="240" w:lineRule="auto"/>
        <w:ind w:left="714" w:hanging="357"/>
        <w:rPr>
          <w:rFonts w:cstheme="minorHAnsi"/>
          <w:b/>
          <w:bCs/>
          <w:sz w:val="20"/>
          <w:szCs w:val="20"/>
        </w:rPr>
      </w:pPr>
      <w:r w:rsidRPr="004A5B4B">
        <w:rPr>
          <w:rFonts w:cstheme="minorHAnsi"/>
          <w:b/>
          <w:bCs/>
          <w:sz w:val="20"/>
          <w:szCs w:val="20"/>
        </w:rPr>
        <w:t xml:space="preserve">Les recettes </w:t>
      </w:r>
      <w:r w:rsidRPr="00B15A64">
        <w:rPr>
          <w:rFonts w:cstheme="minorHAnsi"/>
          <w:b/>
          <w:bCs/>
          <w:sz w:val="20"/>
          <w:szCs w:val="20"/>
        </w:rPr>
        <w:t xml:space="preserve">réelles </w:t>
      </w:r>
      <w:r w:rsidR="000E6A35">
        <w:rPr>
          <w:rFonts w:cstheme="minorHAnsi"/>
          <w:sz w:val="20"/>
          <w:szCs w:val="20"/>
        </w:rPr>
        <w:t>804 950,34</w:t>
      </w:r>
      <w:r w:rsidR="00545D56" w:rsidRPr="00B15A64">
        <w:rPr>
          <w:rFonts w:cstheme="minorHAnsi"/>
          <w:i/>
          <w:iCs/>
          <w:sz w:val="20"/>
          <w:szCs w:val="20"/>
        </w:rPr>
        <w:t xml:space="preserve"> </w:t>
      </w:r>
      <w:r w:rsidRPr="00B15A64">
        <w:rPr>
          <w:rFonts w:cstheme="minorHAnsi"/>
          <w:b/>
          <w:bCs/>
          <w:sz w:val="20"/>
          <w:szCs w:val="20"/>
        </w:rPr>
        <w:t>€</w:t>
      </w:r>
    </w:p>
    <w:p w14:paraId="32A69D7D" w14:textId="7D04065C" w:rsidR="00C86751" w:rsidRPr="004A5B4B" w:rsidRDefault="00C86751" w:rsidP="00C86751">
      <w:pPr>
        <w:pStyle w:val="Paragraphedeliste"/>
        <w:numPr>
          <w:ilvl w:val="0"/>
          <w:numId w:val="1"/>
        </w:numPr>
        <w:ind w:left="1134"/>
        <w:rPr>
          <w:rFonts w:cstheme="minorHAnsi"/>
          <w:sz w:val="20"/>
          <w:szCs w:val="20"/>
        </w:rPr>
      </w:pPr>
      <w:r w:rsidRPr="004A5B4B">
        <w:rPr>
          <w:rFonts w:cstheme="minorHAnsi"/>
          <w:sz w:val="20"/>
          <w:szCs w:val="20"/>
        </w:rPr>
        <w:t xml:space="preserve">Il s’agit des subventions d’investissement reçues pour </w:t>
      </w:r>
      <w:r w:rsidR="001C026D">
        <w:rPr>
          <w:rFonts w:cstheme="minorHAnsi"/>
          <w:sz w:val="20"/>
          <w:szCs w:val="20"/>
        </w:rPr>
        <w:t>234 513,80</w:t>
      </w:r>
      <w:r w:rsidRPr="00B15A64">
        <w:rPr>
          <w:rFonts w:cstheme="minorHAnsi"/>
          <w:sz w:val="20"/>
          <w:szCs w:val="20"/>
        </w:rPr>
        <w:t xml:space="preserve">€ </w:t>
      </w:r>
      <w:r w:rsidRPr="004A5B4B">
        <w:rPr>
          <w:rFonts w:cstheme="minorHAnsi"/>
          <w:sz w:val="20"/>
          <w:szCs w:val="20"/>
        </w:rPr>
        <w:t>(chapitre 13) qui émanent principalement d</w:t>
      </w:r>
      <w:r w:rsidR="00B15A64">
        <w:rPr>
          <w:rFonts w:cstheme="minorHAnsi"/>
          <w:sz w:val="20"/>
          <w:szCs w:val="20"/>
        </w:rPr>
        <w:t xml:space="preserve">e l'Etat, </w:t>
      </w:r>
      <w:r w:rsidR="00731A35">
        <w:rPr>
          <w:rFonts w:cstheme="minorHAnsi"/>
          <w:sz w:val="20"/>
          <w:szCs w:val="20"/>
        </w:rPr>
        <w:t xml:space="preserve">de la Région, </w:t>
      </w:r>
      <w:r w:rsidR="00B15A64">
        <w:rPr>
          <w:rFonts w:cstheme="minorHAnsi"/>
          <w:sz w:val="20"/>
          <w:szCs w:val="20"/>
        </w:rPr>
        <w:t>du Département</w:t>
      </w:r>
      <w:r w:rsidR="00900BE8">
        <w:rPr>
          <w:rFonts w:cstheme="minorHAnsi"/>
          <w:sz w:val="20"/>
          <w:szCs w:val="20"/>
        </w:rPr>
        <w:t>, de</w:t>
      </w:r>
      <w:r w:rsidR="00B15A64">
        <w:rPr>
          <w:rFonts w:cstheme="minorHAnsi"/>
          <w:sz w:val="20"/>
          <w:szCs w:val="20"/>
        </w:rPr>
        <w:t xml:space="preserve"> la CAPSO</w:t>
      </w:r>
      <w:r w:rsidR="00900BE8">
        <w:rPr>
          <w:rFonts w:cstheme="minorHAnsi"/>
          <w:sz w:val="20"/>
          <w:szCs w:val="20"/>
        </w:rPr>
        <w:t xml:space="preserve">, et </w:t>
      </w:r>
      <w:r w:rsidR="00731A35">
        <w:rPr>
          <w:rFonts w:cstheme="minorHAnsi"/>
          <w:sz w:val="20"/>
          <w:szCs w:val="20"/>
        </w:rPr>
        <w:t>d'Enedis</w:t>
      </w:r>
      <w:r w:rsidR="00B15A64">
        <w:rPr>
          <w:rFonts w:cstheme="minorHAnsi"/>
          <w:sz w:val="20"/>
          <w:szCs w:val="20"/>
        </w:rPr>
        <w:t>.</w:t>
      </w:r>
    </w:p>
    <w:p w14:paraId="3CF48081" w14:textId="03165869" w:rsidR="00C86751" w:rsidRPr="004A5B4B" w:rsidRDefault="00C86751" w:rsidP="00C86751">
      <w:pPr>
        <w:pStyle w:val="Paragraphedeliste"/>
        <w:numPr>
          <w:ilvl w:val="0"/>
          <w:numId w:val="1"/>
        </w:numPr>
        <w:ind w:left="1134"/>
        <w:rPr>
          <w:rFonts w:cstheme="minorHAnsi"/>
          <w:sz w:val="20"/>
          <w:szCs w:val="20"/>
        </w:rPr>
      </w:pPr>
      <w:r w:rsidRPr="004A5B4B">
        <w:rPr>
          <w:rFonts w:cstheme="minorHAnsi"/>
          <w:sz w:val="20"/>
          <w:szCs w:val="20"/>
        </w:rPr>
        <w:t>Du FCTVA pour</w:t>
      </w:r>
      <w:r w:rsidR="00781F02">
        <w:rPr>
          <w:rFonts w:cstheme="minorHAnsi"/>
          <w:sz w:val="20"/>
          <w:szCs w:val="20"/>
        </w:rPr>
        <w:t xml:space="preserve"> </w:t>
      </w:r>
      <w:r w:rsidR="00646AF5">
        <w:rPr>
          <w:rFonts w:cstheme="minorHAnsi"/>
          <w:sz w:val="20"/>
          <w:szCs w:val="20"/>
        </w:rPr>
        <w:t>157 529,42</w:t>
      </w:r>
      <w:r w:rsidR="00781F02">
        <w:rPr>
          <w:rFonts w:cstheme="minorHAnsi"/>
          <w:sz w:val="20"/>
          <w:szCs w:val="20"/>
        </w:rPr>
        <w:t xml:space="preserve"> €</w:t>
      </w:r>
    </w:p>
    <w:p w14:paraId="0AF2A245" w14:textId="73BDA291" w:rsidR="00C86751" w:rsidRDefault="00C86751" w:rsidP="00C86751">
      <w:pPr>
        <w:pStyle w:val="Paragraphedeliste"/>
        <w:numPr>
          <w:ilvl w:val="0"/>
          <w:numId w:val="1"/>
        </w:numPr>
        <w:ind w:left="1134"/>
        <w:rPr>
          <w:rFonts w:cstheme="minorHAnsi"/>
          <w:sz w:val="20"/>
          <w:szCs w:val="20"/>
        </w:rPr>
      </w:pPr>
      <w:r w:rsidRPr="004A5B4B">
        <w:rPr>
          <w:rFonts w:cstheme="minorHAnsi"/>
          <w:sz w:val="20"/>
          <w:szCs w:val="20"/>
        </w:rPr>
        <w:t xml:space="preserve">De la taxe d’aménagement </w:t>
      </w:r>
      <w:r w:rsidRPr="00B10701">
        <w:rPr>
          <w:rFonts w:cstheme="minorHAnsi"/>
          <w:sz w:val="20"/>
          <w:szCs w:val="20"/>
        </w:rPr>
        <w:t xml:space="preserve">pour </w:t>
      </w:r>
      <w:r w:rsidR="00842F49">
        <w:rPr>
          <w:rFonts w:cstheme="minorHAnsi"/>
          <w:sz w:val="20"/>
          <w:szCs w:val="20"/>
        </w:rPr>
        <w:t>7 023,22</w:t>
      </w:r>
      <w:r w:rsidR="00B10701" w:rsidRPr="00B10701">
        <w:rPr>
          <w:rFonts w:cstheme="minorHAnsi"/>
          <w:sz w:val="20"/>
          <w:szCs w:val="20"/>
        </w:rPr>
        <w:t xml:space="preserve"> €</w:t>
      </w:r>
    </w:p>
    <w:p w14:paraId="37E9D1E6" w14:textId="4FBA12FC" w:rsidR="00C42C03" w:rsidRPr="004A5B4B" w:rsidRDefault="00C42C03" w:rsidP="00C86751">
      <w:pPr>
        <w:pStyle w:val="Paragraphedeliste"/>
        <w:numPr>
          <w:ilvl w:val="0"/>
          <w:numId w:val="1"/>
        </w:numPr>
        <w:ind w:left="1134"/>
        <w:rPr>
          <w:rFonts w:cstheme="minorHAnsi"/>
          <w:sz w:val="20"/>
          <w:szCs w:val="20"/>
        </w:rPr>
      </w:pPr>
      <w:r>
        <w:rPr>
          <w:rFonts w:cstheme="minorHAnsi"/>
          <w:sz w:val="20"/>
          <w:szCs w:val="20"/>
        </w:rPr>
        <w:t>Des cautions payées par les professionnels de santé à la maison médicale : 5 883,90 €</w:t>
      </w:r>
    </w:p>
    <w:p w14:paraId="1947D689" w14:textId="5B87A3BA" w:rsidR="00C86751" w:rsidRPr="00B10701" w:rsidRDefault="00C86751" w:rsidP="00C86751">
      <w:pPr>
        <w:pStyle w:val="Paragraphedeliste"/>
        <w:numPr>
          <w:ilvl w:val="0"/>
          <w:numId w:val="1"/>
        </w:numPr>
        <w:ind w:left="1134"/>
        <w:rPr>
          <w:rFonts w:cstheme="minorHAnsi"/>
          <w:sz w:val="20"/>
          <w:szCs w:val="20"/>
        </w:rPr>
      </w:pPr>
      <w:r w:rsidRPr="00B10701">
        <w:rPr>
          <w:rFonts w:cstheme="minorHAnsi"/>
          <w:sz w:val="20"/>
          <w:szCs w:val="20"/>
        </w:rPr>
        <w:t xml:space="preserve">De notre excédent de fonctionnement capitalisé (1068) lié à une précédente affectation du résultat </w:t>
      </w:r>
      <w:r w:rsidR="005C180F" w:rsidRPr="00B10701">
        <w:rPr>
          <w:rFonts w:cstheme="minorHAnsi"/>
          <w:sz w:val="20"/>
          <w:szCs w:val="20"/>
        </w:rPr>
        <w:t xml:space="preserve">pour un montant </w:t>
      </w:r>
      <w:r w:rsidRPr="00B10701">
        <w:rPr>
          <w:rFonts w:cstheme="minorHAnsi"/>
          <w:sz w:val="20"/>
          <w:szCs w:val="20"/>
        </w:rPr>
        <w:t>de</w:t>
      </w:r>
      <w:r w:rsidR="00B10701" w:rsidRPr="00B10701">
        <w:rPr>
          <w:rFonts w:cstheme="minorHAnsi"/>
          <w:sz w:val="20"/>
          <w:szCs w:val="20"/>
        </w:rPr>
        <w:t xml:space="preserve"> 400 000</w:t>
      </w:r>
      <w:r w:rsidR="00545D56" w:rsidRPr="00B10701">
        <w:rPr>
          <w:rFonts w:cstheme="minorHAnsi"/>
          <w:i/>
          <w:iCs/>
          <w:sz w:val="20"/>
          <w:szCs w:val="20"/>
        </w:rPr>
        <w:t xml:space="preserve"> </w:t>
      </w:r>
      <w:r w:rsidRPr="00B10701">
        <w:rPr>
          <w:rFonts w:cstheme="minorHAnsi"/>
          <w:sz w:val="20"/>
          <w:szCs w:val="20"/>
        </w:rPr>
        <w:t>€.</w:t>
      </w:r>
    </w:p>
    <w:p w14:paraId="5E7C672C" w14:textId="0934D635" w:rsidR="0017465F" w:rsidRDefault="005C180F" w:rsidP="00362DA4">
      <w:pPr>
        <w:pStyle w:val="Paragraphedeliste"/>
        <w:numPr>
          <w:ilvl w:val="0"/>
          <w:numId w:val="1"/>
        </w:numPr>
        <w:spacing w:after="0" w:line="240" w:lineRule="auto"/>
        <w:ind w:left="714" w:hanging="357"/>
      </w:pPr>
      <w:r w:rsidRPr="00F81E2D">
        <w:rPr>
          <w:rFonts w:cstheme="minorHAnsi"/>
          <w:b/>
          <w:bCs/>
          <w:sz w:val="20"/>
          <w:szCs w:val="20"/>
        </w:rPr>
        <w:t xml:space="preserve">Les recettes d’ordre </w:t>
      </w:r>
      <w:r w:rsidR="009F0F23" w:rsidRPr="00F81E2D">
        <w:rPr>
          <w:rFonts w:cstheme="minorHAnsi"/>
          <w:sz w:val="20"/>
          <w:szCs w:val="20"/>
        </w:rPr>
        <w:t xml:space="preserve">qui représentent </w:t>
      </w:r>
      <w:r w:rsidRPr="00F81E2D">
        <w:rPr>
          <w:rFonts w:cstheme="minorHAnsi"/>
          <w:sz w:val="20"/>
          <w:szCs w:val="20"/>
        </w:rPr>
        <w:t>des écritures comptables</w:t>
      </w:r>
      <w:r w:rsidR="00FC6251" w:rsidRPr="00F81E2D">
        <w:rPr>
          <w:rFonts w:cstheme="minorHAnsi"/>
          <w:sz w:val="20"/>
          <w:szCs w:val="20"/>
        </w:rPr>
        <w:t xml:space="preserve"> pour un montant de </w:t>
      </w:r>
      <w:r w:rsidR="00D3366D" w:rsidRPr="00F81E2D">
        <w:rPr>
          <w:rFonts w:cstheme="minorHAnsi"/>
          <w:sz w:val="20"/>
          <w:szCs w:val="20"/>
        </w:rPr>
        <w:t>109 093,27</w:t>
      </w:r>
      <w:r w:rsidR="002961B4" w:rsidRPr="00F81E2D">
        <w:rPr>
          <w:rFonts w:cstheme="minorHAnsi"/>
          <w:sz w:val="20"/>
          <w:szCs w:val="20"/>
        </w:rPr>
        <w:t xml:space="preserve"> </w:t>
      </w:r>
      <w:r w:rsidR="00FC6251" w:rsidRPr="00F81E2D">
        <w:rPr>
          <w:rFonts w:cstheme="minorHAnsi"/>
          <w:sz w:val="20"/>
          <w:szCs w:val="20"/>
        </w:rPr>
        <w:t>€</w:t>
      </w:r>
    </w:p>
    <w:p w14:paraId="391EF6DE" w14:textId="77777777" w:rsidR="00184B97" w:rsidRDefault="00184B97" w:rsidP="0017465F">
      <w:pPr>
        <w:pStyle w:val="CorpsdetexteMsoNormal"/>
        <w:spacing w:after="0"/>
      </w:pPr>
    </w:p>
    <w:p w14:paraId="6C5516F1" w14:textId="77777777" w:rsidR="00266120" w:rsidRDefault="00266120" w:rsidP="0017465F">
      <w:pPr>
        <w:pStyle w:val="CorpsdetexteMsoNormal"/>
        <w:spacing w:after="0"/>
      </w:pPr>
    </w:p>
    <w:p w14:paraId="58D3B4BA" w14:textId="02A7398C" w:rsidR="004F1C87" w:rsidRDefault="0017465F" w:rsidP="003147C9">
      <w:pPr>
        <w:shd w:val="clear" w:color="auto" w:fill="6699FF"/>
        <w:rPr>
          <w:b/>
          <w:bCs/>
          <w:color w:val="FFFFFF" w:themeColor="background1"/>
          <w:sz w:val="20"/>
          <w:szCs w:val="18"/>
        </w:rPr>
      </w:pPr>
      <w:r>
        <w:rPr>
          <w:b/>
          <w:bCs/>
          <w:color w:val="FFFFFF" w:themeColor="background1"/>
          <w:sz w:val="20"/>
          <w:szCs w:val="20"/>
        </w:rPr>
        <w:t>3</w:t>
      </w:r>
      <w:r w:rsidRPr="007B7FFA">
        <w:rPr>
          <w:b/>
          <w:bCs/>
          <w:color w:val="FFFFFF" w:themeColor="background1"/>
          <w:sz w:val="20"/>
          <w:szCs w:val="20"/>
        </w:rPr>
        <w:t xml:space="preserve">. </w:t>
      </w:r>
      <w:r w:rsidRPr="0017465F">
        <w:rPr>
          <w:b/>
          <w:bCs/>
          <w:color w:val="FFFFFF" w:themeColor="background1"/>
          <w:sz w:val="20"/>
          <w:szCs w:val="18"/>
        </w:rPr>
        <w:t xml:space="preserve"> Les données synthétiques du compte administratif – Récapitulation</w:t>
      </w:r>
    </w:p>
    <w:p w14:paraId="3806E2A0" w14:textId="77777777" w:rsidR="004F1C87" w:rsidRDefault="004F1C87" w:rsidP="003147C9">
      <w:pPr>
        <w:shd w:val="clear" w:color="auto" w:fill="6699FF"/>
        <w:rPr>
          <w:b/>
          <w:bCs/>
          <w:color w:val="FFFFFF" w:themeColor="background1"/>
          <w:sz w:val="20"/>
          <w:szCs w:val="18"/>
        </w:rPr>
      </w:pPr>
    </w:p>
    <w:bookmarkStart w:id="1" w:name="_MON_1742213345"/>
    <w:bookmarkEnd w:id="1"/>
    <w:p w14:paraId="78F3B48B" w14:textId="2CF1479F" w:rsidR="009F0F23" w:rsidRDefault="00D60B69" w:rsidP="00F36E73">
      <w:pPr>
        <w:spacing w:after="0" w:line="240" w:lineRule="auto"/>
        <w:jc w:val="center"/>
        <w:rPr>
          <w:b/>
          <w:bCs/>
        </w:rPr>
      </w:pPr>
      <w:r>
        <w:rPr>
          <w:b/>
          <w:bCs/>
        </w:rPr>
        <w:object w:dxaOrig="8325" w:dyaOrig="7296" w14:anchorId="07F64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364.5pt" o:ole="">
            <v:imagedata r:id="rId8" o:title=""/>
          </v:shape>
          <o:OLEObject Type="Embed" ProgID="Excel.Sheet.12" ShapeID="_x0000_i1025" DrawAspect="Content" ObjectID="_1774337613" r:id="rId9"/>
        </w:object>
      </w:r>
    </w:p>
    <w:p w14:paraId="438595F4" w14:textId="77777777" w:rsidR="00F36E73" w:rsidRDefault="00F36E73" w:rsidP="00F36E73">
      <w:pPr>
        <w:spacing w:after="0" w:line="240" w:lineRule="auto"/>
        <w:jc w:val="center"/>
        <w:rPr>
          <w:b/>
          <w:bCs/>
        </w:rPr>
      </w:pPr>
    </w:p>
    <w:p w14:paraId="1F9220C8" w14:textId="77777777" w:rsidR="00F36E73" w:rsidRPr="009F0F23" w:rsidRDefault="00F36E73" w:rsidP="00F36E73">
      <w:pPr>
        <w:spacing w:after="0" w:line="240" w:lineRule="auto"/>
        <w:jc w:val="center"/>
        <w:rPr>
          <w:b/>
          <w:bCs/>
        </w:rPr>
      </w:pPr>
    </w:p>
    <w:sectPr w:rsidR="00F36E73" w:rsidRPr="009F0F23" w:rsidSect="00FE6DE7">
      <w:footerReference w:type="default" r:id="rId10"/>
      <w:pgSz w:w="11906" w:h="16838"/>
      <w:pgMar w:top="1134"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56188" w14:textId="77777777" w:rsidR="00FE6DE7" w:rsidRDefault="00FE6DE7" w:rsidP="00FE6DE7">
      <w:pPr>
        <w:spacing w:after="0" w:line="240" w:lineRule="auto"/>
      </w:pPr>
      <w:r>
        <w:separator/>
      </w:r>
    </w:p>
  </w:endnote>
  <w:endnote w:type="continuationSeparator" w:id="0">
    <w:p w14:paraId="115CB2F4" w14:textId="77777777" w:rsidR="00FE6DE7" w:rsidRDefault="00FE6DE7" w:rsidP="00FE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neva">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8873963"/>
      <w:docPartObj>
        <w:docPartGallery w:val="Page Numbers (Bottom of Page)"/>
        <w:docPartUnique/>
      </w:docPartObj>
    </w:sdtPr>
    <w:sdtEndPr/>
    <w:sdtContent>
      <w:p w14:paraId="3C3FC771" w14:textId="0C29D63F" w:rsidR="00FE6DE7" w:rsidRDefault="00FE6DE7">
        <w:pPr>
          <w:pStyle w:val="Pieddepage"/>
          <w:jc w:val="right"/>
        </w:pPr>
        <w:r>
          <w:fldChar w:fldCharType="begin"/>
        </w:r>
        <w:r>
          <w:instrText>PAGE   \* MERGEFORMAT</w:instrText>
        </w:r>
        <w:r>
          <w:fldChar w:fldCharType="separate"/>
        </w:r>
        <w:r>
          <w:t>2</w:t>
        </w:r>
        <w:r>
          <w:fldChar w:fldCharType="end"/>
        </w:r>
      </w:p>
    </w:sdtContent>
  </w:sdt>
  <w:p w14:paraId="697A7ED8" w14:textId="77777777" w:rsidR="00FE6DE7" w:rsidRDefault="00FE6D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B2F1A" w14:textId="77777777" w:rsidR="00FE6DE7" w:rsidRDefault="00FE6DE7" w:rsidP="00FE6DE7">
      <w:pPr>
        <w:spacing w:after="0" w:line="240" w:lineRule="auto"/>
      </w:pPr>
      <w:r>
        <w:separator/>
      </w:r>
    </w:p>
  </w:footnote>
  <w:footnote w:type="continuationSeparator" w:id="0">
    <w:p w14:paraId="1005DE50" w14:textId="77777777" w:rsidR="00FE6DE7" w:rsidRDefault="00FE6DE7" w:rsidP="00FE6D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E2933"/>
    <w:multiLevelType w:val="hybridMultilevel"/>
    <w:tmpl w:val="274CE8B4"/>
    <w:lvl w:ilvl="0" w:tplc="803E34F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363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6F"/>
    <w:rsid w:val="00002836"/>
    <w:rsid w:val="000166E7"/>
    <w:rsid w:val="0002568C"/>
    <w:rsid w:val="000274CA"/>
    <w:rsid w:val="00031D9C"/>
    <w:rsid w:val="00036E20"/>
    <w:rsid w:val="00041CA5"/>
    <w:rsid w:val="0004202E"/>
    <w:rsid w:val="00045657"/>
    <w:rsid w:val="00055E40"/>
    <w:rsid w:val="000573C0"/>
    <w:rsid w:val="000715FF"/>
    <w:rsid w:val="00077799"/>
    <w:rsid w:val="000A2BD4"/>
    <w:rsid w:val="000C2AAF"/>
    <w:rsid w:val="000C6368"/>
    <w:rsid w:val="000E0134"/>
    <w:rsid w:val="000E44A5"/>
    <w:rsid w:val="000E6A35"/>
    <w:rsid w:val="000F3486"/>
    <w:rsid w:val="00105778"/>
    <w:rsid w:val="00106FD4"/>
    <w:rsid w:val="00116904"/>
    <w:rsid w:val="00121EAE"/>
    <w:rsid w:val="00125882"/>
    <w:rsid w:val="00125B33"/>
    <w:rsid w:val="00127DEB"/>
    <w:rsid w:val="001306BB"/>
    <w:rsid w:val="00140A55"/>
    <w:rsid w:val="00142C44"/>
    <w:rsid w:val="00143BC9"/>
    <w:rsid w:val="001442E0"/>
    <w:rsid w:val="00147673"/>
    <w:rsid w:val="00160F24"/>
    <w:rsid w:val="00161458"/>
    <w:rsid w:val="001714DE"/>
    <w:rsid w:val="0017465F"/>
    <w:rsid w:val="001801CC"/>
    <w:rsid w:val="00184B97"/>
    <w:rsid w:val="001A29F8"/>
    <w:rsid w:val="001C026D"/>
    <w:rsid w:val="001C4FA6"/>
    <w:rsid w:val="001D4722"/>
    <w:rsid w:val="001D6161"/>
    <w:rsid w:val="001D7FEF"/>
    <w:rsid w:val="001E4D33"/>
    <w:rsid w:val="001E6B05"/>
    <w:rsid w:val="001F201D"/>
    <w:rsid w:val="001F4833"/>
    <w:rsid w:val="00211B9B"/>
    <w:rsid w:val="00223AEB"/>
    <w:rsid w:val="002429EA"/>
    <w:rsid w:val="00256499"/>
    <w:rsid w:val="00266120"/>
    <w:rsid w:val="00267954"/>
    <w:rsid w:val="00275B2E"/>
    <w:rsid w:val="002827E8"/>
    <w:rsid w:val="002961B4"/>
    <w:rsid w:val="002A00FF"/>
    <w:rsid w:val="002B7648"/>
    <w:rsid w:val="002C64B2"/>
    <w:rsid w:val="002C6C2C"/>
    <w:rsid w:val="002D0766"/>
    <w:rsid w:val="002D33BC"/>
    <w:rsid w:val="002D5543"/>
    <w:rsid w:val="002D7A50"/>
    <w:rsid w:val="002E1E74"/>
    <w:rsid w:val="002F6DD7"/>
    <w:rsid w:val="00301AE2"/>
    <w:rsid w:val="003051BE"/>
    <w:rsid w:val="00305E2C"/>
    <w:rsid w:val="003147C9"/>
    <w:rsid w:val="003213B3"/>
    <w:rsid w:val="00323CA0"/>
    <w:rsid w:val="00332B4D"/>
    <w:rsid w:val="003440AF"/>
    <w:rsid w:val="003452E9"/>
    <w:rsid w:val="00352370"/>
    <w:rsid w:val="00353EB0"/>
    <w:rsid w:val="00356143"/>
    <w:rsid w:val="00360F08"/>
    <w:rsid w:val="00364757"/>
    <w:rsid w:val="003743C4"/>
    <w:rsid w:val="003A757D"/>
    <w:rsid w:val="003B4EF6"/>
    <w:rsid w:val="003C0F6F"/>
    <w:rsid w:val="003C274C"/>
    <w:rsid w:val="003C7C0A"/>
    <w:rsid w:val="003E104D"/>
    <w:rsid w:val="003F480C"/>
    <w:rsid w:val="004027FC"/>
    <w:rsid w:val="0040411F"/>
    <w:rsid w:val="00406BE6"/>
    <w:rsid w:val="00410451"/>
    <w:rsid w:val="00417559"/>
    <w:rsid w:val="00425A8B"/>
    <w:rsid w:val="004315CE"/>
    <w:rsid w:val="00442A1A"/>
    <w:rsid w:val="004541C7"/>
    <w:rsid w:val="00455970"/>
    <w:rsid w:val="00456086"/>
    <w:rsid w:val="004674C8"/>
    <w:rsid w:val="00476B70"/>
    <w:rsid w:val="00484797"/>
    <w:rsid w:val="004856F4"/>
    <w:rsid w:val="00491764"/>
    <w:rsid w:val="004A1A27"/>
    <w:rsid w:val="004A2261"/>
    <w:rsid w:val="004A5B4B"/>
    <w:rsid w:val="004C189A"/>
    <w:rsid w:val="004F1C87"/>
    <w:rsid w:val="004F7555"/>
    <w:rsid w:val="00504C20"/>
    <w:rsid w:val="00510CEE"/>
    <w:rsid w:val="0051492D"/>
    <w:rsid w:val="0051645F"/>
    <w:rsid w:val="00537C87"/>
    <w:rsid w:val="00545D56"/>
    <w:rsid w:val="00551152"/>
    <w:rsid w:val="00555BBD"/>
    <w:rsid w:val="00556485"/>
    <w:rsid w:val="00556FDC"/>
    <w:rsid w:val="00582A08"/>
    <w:rsid w:val="00590133"/>
    <w:rsid w:val="0059752B"/>
    <w:rsid w:val="005A1FFF"/>
    <w:rsid w:val="005C180F"/>
    <w:rsid w:val="005F0054"/>
    <w:rsid w:val="005F6FB7"/>
    <w:rsid w:val="006102B1"/>
    <w:rsid w:val="006120D3"/>
    <w:rsid w:val="00620B6E"/>
    <w:rsid w:val="00620FE5"/>
    <w:rsid w:val="00623858"/>
    <w:rsid w:val="0062618D"/>
    <w:rsid w:val="00627ECC"/>
    <w:rsid w:val="0063311A"/>
    <w:rsid w:val="0063411F"/>
    <w:rsid w:val="00634A8E"/>
    <w:rsid w:val="00646AF5"/>
    <w:rsid w:val="006514DB"/>
    <w:rsid w:val="00662439"/>
    <w:rsid w:val="006672E2"/>
    <w:rsid w:val="006A3067"/>
    <w:rsid w:val="006B3CC6"/>
    <w:rsid w:val="006B488C"/>
    <w:rsid w:val="006C0A43"/>
    <w:rsid w:val="006C1E67"/>
    <w:rsid w:val="006C2C87"/>
    <w:rsid w:val="006C38F9"/>
    <w:rsid w:val="006C7BE4"/>
    <w:rsid w:val="006F0FB7"/>
    <w:rsid w:val="006F23A2"/>
    <w:rsid w:val="006F2C82"/>
    <w:rsid w:val="007025A6"/>
    <w:rsid w:val="00731A35"/>
    <w:rsid w:val="00732AB1"/>
    <w:rsid w:val="00737849"/>
    <w:rsid w:val="00765AE8"/>
    <w:rsid w:val="00766E27"/>
    <w:rsid w:val="00767240"/>
    <w:rsid w:val="00772ADB"/>
    <w:rsid w:val="00781F02"/>
    <w:rsid w:val="00786583"/>
    <w:rsid w:val="007B7FFA"/>
    <w:rsid w:val="007C003B"/>
    <w:rsid w:val="007D3B85"/>
    <w:rsid w:val="0080040B"/>
    <w:rsid w:val="008122D4"/>
    <w:rsid w:val="0081365E"/>
    <w:rsid w:val="00816B6F"/>
    <w:rsid w:val="00830187"/>
    <w:rsid w:val="0083332F"/>
    <w:rsid w:val="00842F49"/>
    <w:rsid w:val="00846D60"/>
    <w:rsid w:val="00846EE0"/>
    <w:rsid w:val="00856C6D"/>
    <w:rsid w:val="008702B8"/>
    <w:rsid w:val="00872255"/>
    <w:rsid w:val="00885965"/>
    <w:rsid w:val="00885E05"/>
    <w:rsid w:val="008A0121"/>
    <w:rsid w:val="008A1DF5"/>
    <w:rsid w:val="008B61BC"/>
    <w:rsid w:val="008D1ECD"/>
    <w:rsid w:val="008D277D"/>
    <w:rsid w:val="008D4711"/>
    <w:rsid w:val="008D50A3"/>
    <w:rsid w:val="008D58D7"/>
    <w:rsid w:val="00900BE8"/>
    <w:rsid w:val="00903F33"/>
    <w:rsid w:val="0090613B"/>
    <w:rsid w:val="0091399C"/>
    <w:rsid w:val="00913A2F"/>
    <w:rsid w:val="009164EB"/>
    <w:rsid w:val="00922196"/>
    <w:rsid w:val="00923BEF"/>
    <w:rsid w:val="00926DB8"/>
    <w:rsid w:val="00932377"/>
    <w:rsid w:val="00934EE1"/>
    <w:rsid w:val="009363A1"/>
    <w:rsid w:val="009379C7"/>
    <w:rsid w:val="00942918"/>
    <w:rsid w:val="009430D8"/>
    <w:rsid w:val="00953902"/>
    <w:rsid w:val="009616D6"/>
    <w:rsid w:val="00961B18"/>
    <w:rsid w:val="00964B2F"/>
    <w:rsid w:val="009673CE"/>
    <w:rsid w:val="00967C45"/>
    <w:rsid w:val="0097440D"/>
    <w:rsid w:val="009766E5"/>
    <w:rsid w:val="00977354"/>
    <w:rsid w:val="00977A78"/>
    <w:rsid w:val="00983845"/>
    <w:rsid w:val="009856D9"/>
    <w:rsid w:val="00987BF5"/>
    <w:rsid w:val="009D2669"/>
    <w:rsid w:val="009F0F23"/>
    <w:rsid w:val="009F2305"/>
    <w:rsid w:val="009F617E"/>
    <w:rsid w:val="00A01CC3"/>
    <w:rsid w:val="00A0517D"/>
    <w:rsid w:val="00A21241"/>
    <w:rsid w:val="00A262EF"/>
    <w:rsid w:val="00A4081C"/>
    <w:rsid w:val="00A42B51"/>
    <w:rsid w:val="00A441A2"/>
    <w:rsid w:val="00A634BF"/>
    <w:rsid w:val="00A66657"/>
    <w:rsid w:val="00A668F8"/>
    <w:rsid w:val="00A755CC"/>
    <w:rsid w:val="00A75F6D"/>
    <w:rsid w:val="00AB2E63"/>
    <w:rsid w:val="00AB43B6"/>
    <w:rsid w:val="00AB764F"/>
    <w:rsid w:val="00AC3388"/>
    <w:rsid w:val="00AE1F74"/>
    <w:rsid w:val="00AE5BA0"/>
    <w:rsid w:val="00AF6252"/>
    <w:rsid w:val="00B006FC"/>
    <w:rsid w:val="00B03EA0"/>
    <w:rsid w:val="00B10701"/>
    <w:rsid w:val="00B1437A"/>
    <w:rsid w:val="00B15A64"/>
    <w:rsid w:val="00B22373"/>
    <w:rsid w:val="00B24418"/>
    <w:rsid w:val="00B421E2"/>
    <w:rsid w:val="00B50701"/>
    <w:rsid w:val="00B55692"/>
    <w:rsid w:val="00B55DB1"/>
    <w:rsid w:val="00B608FC"/>
    <w:rsid w:val="00B63FC4"/>
    <w:rsid w:val="00B663A8"/>
    <w:rsid w:val="00B8461F"/>
    <w:rsid w:val="00B85B3D"/>
    <w:rsid w:val="00BB3D3D"/>
    <w:rsid w:val="00BB3E74"/>
    <w:rsid w:val="00BC5464"/>
    <w:rsid w:val="00BC7C32"/>
    <w:rsid w:val="00BD484B"/>
    <w:rsid w:val="00BD667E"/>
    <w:rsid w:val="00BD7C74"/>
    <w:rsid w:val="00BF09E9"/>
    <w:rsid w:val="00BF5795"/>
    <w:rsid w:val="00BF7020"/>
    <w:rsid w:val="00C20961"/>
    <w:rsid w:val="00C211E8"/>
    <w:rsid w:val="00C2669F"/>
    <w:rsid w:val="00C36481"/>
    <w:rsid w:val="00C42C03"/>
    <w:rsid w:val="00C554AA"/>
    <w:rsid w:val="00C605A8"/>
    <w:rsid w:val="00C67620"/>
    <w:rsid w:val="00C86751"/>
    <w:rsid w:val="00C90F05"/>
    <w:rsid w:val="00C97388"/>
    <w:rsid w:val="00C9771F"/>
    <w:rsid w:val="00CA5AA1"/>
    <w:rsid w:val="00CC0B44"/>
    <w:rsid w:val="00CC105D"/>
    <w:rsid w:val="00CD3836"/>
    <w:rsid w:val="00CE09AF"/>
    <w:rsid w:val="00CE2FEE"/>
    <w:rsid w:val="00CE4248"/>
    <w:rsid w:val="00CF3A6B"/>
    <w:rsid w:val="00CF5DBA"/>
    <w:rsid w:val="00D03A58"/>
    <w:rsid w:val="00D07ADB"/>
    <w:rsid w:val="00D153DB"/>
    <w:rsid w:val="00D17940"/>
    <w:rsid w:val="00D17D3B"/>
    <w:rsid w:val="00D3366D"/>
    <w:rsid w:val="00D36A1A"/>
    <w:rsid w:val="00D36D2F"/>
    <w:rsid w:val="00D37062"/>
    <w:rsid w:val="00D446F3"/>
    <w:rsid w:val="00D519CB"/>
    <w:rsid w:val="00D552E6"/>
    <w:rsid w:val="00D56544"/>
    <w:rsid w:val="00D60B69"/>
    <w:rsid w:val="00D64052"/>
    <w:rsid w:val="00D71AF6"/>
    <w:rsid w:val="00D8322A"/>
    <w:rsid w:val="00DA0EF6"/>
    <w:rsid w:val="00DA5B7C"/>
    <w:rsid w:val="00DA5F89"/>
    <w:rsid w:val="00DA750D"/>
    <w:rsid w:val="00DB53A2"/>
    <w:rsid w:val="00DB681F"/>
    <w:rsid w:val="00DB74BE"/>
    <w:rsid w:val="00DC3888"/>
    <w:rsid w:val="00DC7E22"/>
    <w:rsid w:val="00DE0F62"/>
    <w:rsid w:val="00DE208F"/>
    <w:rsid w:val="00DF4C1B"/>
    <w:rsid w:val="00E1652D"/>
    <w:rsid w:val="00E33026"/>
    <w:rsid w:val="00E3556A"/>
    <w:rsid w:val="00E405C8"/>
    <w:rsid w:val="00E4318F"/>
    <w:rsid w:val="00E60CC5"/>
    <w:rsid w:val="00E6633E"/>
    <w:rsid w:val="00E76FBE"/>
    <w:rsid w:val="00E77505"/>
    <w:rsid w:val="00E77BE7"/>
    <w:rsid w:val="00E85D6B"/>
    <w:rsid w:val="00EA256E"/>
    <w:rsid w:val="00EA2924"/>
    <w:rsid w:val="00EA4C8F"/>
    <w:rsid w:val="00EB27B3"/>
    <w:rsid w:val="00EB552E"/>
    <w:rsid w:val="00ED5CDF"/>
    <w:rsid w:val="00EE4683"/>
    <w:rsid w:val="00F06608"/>
    <w:rsid w:val="00F13F31"/>
    <w:rsid w:val="00F14DDA"/>
    <w:rsid w:val="00F20643"/>
    <w:rsid w:val="00F24696"/>
    <w:rsid w:val="00F362B3"/>
    <w:rsid w:val="00F36E73"/>
    <w:rsid w:val="00F433CD"/>
    <w:rsid w:val="00F502C4"/>
    <w:rsid w:val="00F561F2"/>
    <w:rsid w:val="00F57381"/>
    <w:rsid w:val="00F6238D"/>
    <w:rsid w:val="00F75D09"/>
    <w:rsid w:val="00F81E2D"/>
    <w:rsid w:val="00F8620E"/>
    <w:rsid w:val="00F9477C"/>
    <w:rsid w:val="00FA0E63"/>
    <w:rsid w:val="00FA7AA7"/>
    <w:rsid w:val="00FB3E75"/>
    <w:rsid w:val="00FB629B"/>
    <w:rsid w:val="00FC6251"/>
    <w:rsid w:val="00FD59CB"/>
    <w:rsid w:val="00FE4C9B"/>
    <w:rsid w:val="00FE6DE7"/>
    <w:rsid w:val="00FF24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E0DF5E"/>
  <w15:chartTrackingRefBased/>
  <w15:docId w15:val="{CB408363-5C96-4689-9510-3E2ED8E4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6B6F"/>
    <w:pPr>
      <w:ind w:left="720"/>
      <w:contextualSpacing/>
    </w:pPr>
  </w:style>
  <w:style w:type="table" w:styleId="Grilledutableau">
    <w:name w:val="Table Grid"/>
    <w:basedOn w:val="TableauNormal"/>
    <w:uiPriority w:val="39"/>
    <w:rsid w:val="00667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46E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6EE0"/>
    <w:rPr>
      <w:rFonts w:ascii="Segoe UI" w:hAnsi="Segoe UI" w:cs="Segoe UI"/>
      <w:sz w:val="18"/>
      <w:szCs w:val="18"/>
    </w:rPr>
  </w:style>
  <w:style w:type="paragraph" w:customStyle="1" w:styleId="CorpsdetexteMsoNormal">
    <w:name w:val="Corps de texte.MsoNormal"/>
    <w:basedOn w:val="Corpsdetexte"/>
    <w:rsid w:val="00EB27B3"/>
    <w:pPr>
      <w:widowControl w:val="0"/>
      <w:suppressAutoHyphens/>
      <w:spacing w:after="140" w:line="288" w:lineRule="auto"/>
    </w:pPr>
    <w:rPr>
      <w:rFonts w:ascii="Arial" w:eastAsia="SimSun" w:hAnsi="Arial" w:cs="Mangal"/>
      <w:kern w:val="1"/>
      <w:szCs w:val="24"/>
      <w:lang w:eastAsia="zh-CN" w:bidi="hi-IN"/>
    </w:rPr>
  </w:style>
  <w:style w:type="paragraph" w:styleId="Corpsdetexte">
    <w:name w:val="Body Text"/>
    <w:basedOn w:val="Normal"/>
    <w:link w:val="CorpsdetexteCar"/>
    <w:uiPriority w:val="99"/>
    <w:semiHidden/>
    <w:unhideWhenUsed/>
    <w:rsid w:val="00EB27B3"/>
    <w:pPr>
      <w:spacing w:after="120"/>
    </w:pPr>
  </w:style>
  <w:style w:type="character" w:customStyle="1" w:styleId="CorpsdetexteCar">
    <w:name w:val="Corps de texte Car"/>
    <w:basedOn w:val="Policepardfaut"/>
    <w:link w:val="Corpsdetexte"/>
    <w:uiPriority w:val="99"/>
    <w:semiHidden/>
    <w:rsid w:val="00EB27B3"/>
  </w:style>
  <w:style w:type="paragraph" w:styleId="NormalWeb">
    <w:name w:val="Normal (Web)"/>
    <w:basedOn w:val="Normal"/>
    <w:uiPriority w:val="99"/>
    <w:unhideWhenUsed/>
    <w:rsid w:val="00545D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qFormat/>
    <w:rsid w:val="0017465F"/>
    <w:rPr>
      <w:b/>
      <w:bCs/>
    </w:rPr>
  </w:style>
  <w:style w:type="paragraph" w:styleId="En-tte">
    <w:name w:val="header"/>
    <w:basedOn w:val="Normal"/>
    <w:link w:val="En-tteCar"/>
    <w:uiPriority w:val="99"/>
    <w:unhideWhenUsed/>
    <w:rsid w:val="00FE6DE7"/>
    <w:pPr>
      <w:tabs>
        <w:tab w:val="center" w:pos="4536"/>
        <w:tab w:val="right" w:pos="9072"/>
      </w:tabs>
      <w:spacing w:after="0" w:line="240" w:lineRule="auto"/>
    </w:pPr>
  </w:style>
  <w:style w:type="character" w:customStyle="1" w:styleId="En-tteCar">
    <w:name w:val="En-tête Car"/>
    <w:basedOn w:val="Policepardfaut"/>
    <w:link w:val="En-tte"/>
    <w:uiPriority w:val="99"/>
    <w:rsid w:val="00FE6DE7"/>
  </w:style>
  <w:style w:type="paragraph" w:styleId="Pieddepage">
    <w:name w:val="footer"/>
    <w:basedOn w:val="Normal"/>
    <w:link w:val="PieddepageCar"/>
    <w:uiPriority w:val="99"/>
    <w:unhideWhenUsed/>
    <w:rsid w:val="00FE6D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6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6992">
      <w:bodyDiv w:val="1"/>
      <w:marLeft w:val="0"/>
      <w:marRight w:val="0"/>
      <w:marTop w:val="0"/>
      <w:marBottom w:val="0"/>
      <w:divBdr>
        <w:top w:val="none" w:sz="0" w:space="0" w:color="auto"/>
        <w:left w:val="none" w:sz="0" w:space="0" w:color="auto"/>
        <w:bottom w:val="none" w:sz="0" w:space="0" w:color="auto"/>
        <w:right w:val="none" w:sz="0" w:space="0" w:color="auto"/>
      </w:divBdr>
    </w:div>
    <w:div w:id="485902336">
      <w:bodyDiv w:val="1"/>
      <w:marLeft w:val="0"/>
      <w:marRight w:val="0"/>
      <w:marTop w:val="0"/>
      <w:marBottom w:val="0"/>
      <w:divBdr>
        <w:top w:val="none" w:sz="0" w:space="0" w:color="auto"/>
        <w:left w:val="none" w:sz="0" w:space="0" w:color="auto"/>
        <w:bottom w:val="none" w:sz="0" w:space="0" w:color="auto"/>
        <w:right w:val="none" w:sz="0" w:space="0" w:color="auto"/>
      </w:divBdr>
    </w:div>
    <w:div w:id="590502629">
      <w:bodyDiv w:val="1"/>
      <w:marLeft w:val="0"/>
      <w:marRight w:val="0"/>
      <w:marTop w:val="0"/>
      <w:marBottom w:val="0"/>
      <w:divBdr>
        <w:top w:val="none" w:sz="0" w:space="0" w:color="auto"/>
        <w:left w:val="none" w:sz="0" w:space="0" w:color="auto"/>
        <w:bottom w:val="none" w:sz="0" w:space="0" w:color="auto"/>
        <w:right w:val="none" w:sz="0" w:space="0" w:color="auto"/>
      </w:divBdr>
    </w:div>
    <w:div w:id="612056679">
      <w:bodyDiv w:val="1"/>
      <w:marLeft w:val="0"/>
      <w:marRight w:val="0"/>
      <w:marTop w:val="0"/>
      <w:marBottom w:val="0"/>
      <w:divBdr>
        <w:top w:val="none" w:sz="0" w:space="0" w:color="auto"/>
        <w:left w:val="none" w:sz="0" w:space="0" w:color="auto"/>
        <w:bottom w:val="none" w:sz="0" w:space="0" w:color="auto"/>
        <w:right w:val="none" w:sz="0" w:space="0" w:color="auto"/>
      </w:divBdr>
    </w:div>
    <w:div w:id="1484813501">
      <w:bodyDiv w:val="1"/>
      <w:marLeft w:val="0"/>
      <w:marRight w:val="0"/>
      <w:marTop w:val="0"/>
      <w:marBottom w:val="0"/>
      <w:divBdr>
        <w:top w:val="none" w:sz="0" w:space="0" w:color="auto"/>
        <w:left w:val="none" w:sz="0" w:space="0" w:color="auto"/>
        <w:bottom w:val="none" w:sz="0" w:space="0" w:color="auto"/>
        <w:right w:val="none" w:sz="0" w:space="0" w:color="auto"/>
      </w:divBdr>
    </w:div>
    <w:div w:id="1891767552">
      <w:bodyDiv w:val="1"/>
      <w:marLeft w:val="0"/>
      <w:marRight w:val="0"/>
      <w:marTop w:val="0"/>
      <w:marBottom w:val="0"/>
      <w:divBdr>
        <w:top w:val="none" w:sz="0" w:space="0" w:color="auto"/>
        <w:left w:val="none" w:sz="0" w:space="0" w:color="auto"/>
        <w:bottom w:val="none" w:sz="0" w:space="0" w:color="auto"/>
        <w:right w:val="none" w:sz="0" w:space="0" w:color="auto"/>
      </w:divBdr>
    </w:div>
    <w:div w:id="1908027855">
      <w:bodyDiv w:val="1"/>
      <w:marLeft w:val="0"/>
      <w:marRight w:val="0"/>
      <w:marTop w:val="0"/>
      <w:marBottom w:val="0"/>
      <w:divBdr>
        <w:top w:val="none" w:sz="0" w:space="0" w:color="auto"/>
        <w:left w:val="none" w:sz="0" w:space="0" w:color="auto"/>
        <w:bottom w:val="none" w:sz="0" w:space="0" w:color="auto"/>
        <w:right w:val="none" w:sz="0" w:space="0" w:color="auto"/>
      </w:divBdr>
    </w:div>
    <w:div w:id="211617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5</Pages>
  <Words>1711</Words>
  <Characters>9412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HANNEZO</dc:creator>
  <cp:keywords/>
  <dc:description/>
  <cp:lastModifiedBy>Maryse DECOBERT</cp:lastModifiedBy>
  <cp:revision>164</cp:revision>
  <cp:lastPrinted>2024-04-11T08:36:00Z</cp:lastPrinted>
  <dcterms:created xsi:type="dcterms:W3CDTF">2024-04-09T14:55:00Z</dcterms:created>
  <dcterms:modified xsi:type="dcterms:W3CDTF">2024-04-11T08:47:00Z</dcterms:modified>
</cp:coreProperties>
</file>